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jc w:val="left"/>
        <w:rPr>
          <w:rFonts w:hint="default" w:ascii="黑体" w:hAnsi="黑体" w:eastAsia="黑体" w:cs="黑体"/>
          <w:b w:val="0"/>
          <w:bCs w:val="0"/>
          <w:sz w:val="28"/>
          <w:szCs w:val="28"/>
          <w:lang w:val="en-US" w:eastAsia="zh-CN"/>
        </w:rPr>
      </w:pPr>
      <w:r>
        <w:rPr>
          <w:rFonts w:hint="eastAsia" w:ascii="黑体" w:hAnsi="黑体" w:eastAsia="黑体" w:cs="黑体"/>
          <w:b w:val="0"/>
          <w:bCs w:val="0"/>
          <w:sz w:val="28"/>
          <w:szCs w:val="28"/>
          <w:lang w:val="en-US" w:eastAsia="zh-CN"/>
        </w:rPr>
        <w:t>附件1</w:t>
      </w:r>
    </w:p>
    <w:p>
      <w:pPr>
        <w:pStyle w:val="13"/>
        <w:rPr>
          <w:rFonts w:hint="eastAsia"/>
          <w:b w:val="0"/>
          <w:bCs w:val="0"/>
          <w:lang w:val="en-US" w:eastAsia="zh-CN"/>
        </w:rPr>
      </w:pPr>
      <w:r>
        <w:rPr>
          <w:rFonts w:hint="eastAsia"/>
          <w:b w:val="0"/>
          <w:bCs w:val="0"/>
          <w:lang w:val="en-US" w:eastAsia="zh-CN"/>
        </w:rPr>
        <w:t>技术要求</w:t>
      </w:r>
    </w:p>
    <w:p>
      <w:pPr>
        <w:rPr>
          <w:rFonts w:hint="default"/>
          <w:lang w:val="en-US" w:eastAsia="zh-CN"/>
        </w:rPr>
      </w:pPr>
    </w:p>
    <w:p>
      <w:pPr>
        <w:pStyle w:val="2"/>
        <w:numPr>
          <w:ilvl w:val="0"/>
          <w:numId w:val="2"/>
        </w:numPr>
        <w:ind w:firstLine="640"/>
        <w:rPr>
          <w:rFonts w:hint="eastAsia"/>
          <w:lang w:val="en-US" w:eastAsia="zh-CN"/>
        </w:rPr>
      </w:pPr>
      <w:r>
        <w:rPr>
          <w:rFonts w:hint="eastAsia"/>
          <w:lang w:val="en-US" w:eastAsia="zh-CN"/>
        </w:rPr>
        <w:t>功能目标</w:t>
      </w:r>
    </w:p>
    <w:tbl>
      <w:tblPr>
        <w:tblStyle w:val="15"/>
        <w:tblW w:w="4972" w:type="pct"/>
        <w:tblInd w:w="0" w:type="dxa"/>
        <w:tblLayout w:type="fixed"/>
        <w:tblCellMar>
          <w:top w:w="0" w:type="dxa"/>
          <w:left w:w="108" w:type="dxa"/>
          <w:bottom w:w="0" w:type="dxa"/>
          <w:right w:w="108" w:type="dxa"/>
        </w:tblCellMar>
      </w:tblPr>
      <w:tblGrid>
        <w:gridCol w:w="437"/>
        <w:gridCol w:w="825"/>
        <w:gridCol w:w="6856"/>
        <w:gridCol w:w="892"/>
      </w:tblGrid>
      <w:tr>
        <w:trPr>
          <w:trHeight w:val="726" w:hRule="atLeast"/>
          <w:tblHeader/>
        </w:trPr>
        <w:tc>
          <w:tcPr>
            <w:tcW w:w="242" w:type="pct"/>
            <w:tcBorders>
              <w:top w:val="single" w:color="auto" w:sz="4" w:space="0"/>
              <w:left w:val="single" w:color="auto" w:sz="4" w:space="0"/>
              <w:bottom w:val="single" w:color="auto" w:sz="4" w:space="0"/>
              <w:right w:val="single" w:color="auto" w:sz="4" w:space="0"/>
            </w:tcBorders>
            <w:noWrap/>
            <w:vAlign w:val="center"/>
          </w:tcPr>
          <w:p>
            <w:pPr>
              <w:widowControl/>
              <w:spacing w:line="320" w:lineRule="exact"/>
              <w:ind w:firstLine="0" w:firstLineChars="0"/>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序号</w:t>
            </w:r>
          </w:p>
        </w:tc>
        <w:tc>
          <w:tcPr>
            <w:tcW w:w="457" w:type="pct"/>
            <w:tcBorders>
              <w:top w:val="single" w:color="auto" w:sz="4" w:space="0"/>
              <w:left w:val="nil"/>
              <w:bottom w:val="single" w:color="auto" w:sz="4" w:space="0"/>
              <w:right w:val="single" w:color="auto" w:sz="4" w:space="0"/>
            </w:tcBorders>
            <w:noWrap/>
            <w:vAlign w:val="center"/>
          </w:tcPr>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项目名称</w:t>
            </w:r>
          </w:p>
        </w:tc>
        <w:tc>
          <w:tcPr>
            <w:tcW w:w="3804" w:type="pct"/>
            <w:tcBorders>
              <w:top w:val="single" w:color="auto" w:sz="4" w:space="0"/>
              <w:left w:val="nil"/>
              <w:bottom w:val="single" w:color="auto" w:sz="4" w:space="0"/>
              <w:right w:val="single" w:color="auto" w:sz="4" w:space="0"/>
            </w:tcBorders>
            <w:noWrap/>
            <w:vAlign w:val="center"/>
          </w:tcPr>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需要实现的功能或者目标</w:t>
            </w:r>
          </w:p>
        </w:tc>
        <w:tc>
          <w:tcPr>
            <w:tcW w:w="494" w:type="pct"/>
            <w:tcBorders>
              <w:top w:val="single" w:color="auto" w:sz="4" w:space="0"/>
              <w:left w:val="nil"/>
              <w:bottom w:val="single" w:color="auto" w:sz="4" w:space="0"/>
              <w:right w:val="single" w:color="auto" w:sz="4" w:space="0"/>
            </w:tcBorders>
            <w:noWrap/>
            <w:vAlign w:val="center"/>
          </w:tcPr>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备注</w:t>
            </w:r>
          </w:p>
        </w:tc>
      </w:tr>
      <w:tr>
        <w:tblPrEx>
          <w:tblCellMar>
            <w:top w:w="0" w:type="dxa"/>
            <w:left w:w="108" w:type="dxa"/>
            <w:bottom w:w="0" w:type="dxa"/>
            <w:right w:w="108" w:type="dxa"/>
          </w:tblCellMar>
        </w:tblPrEx>
        <w:trPr>
          <w:trHeight w:val="2083" w:hRule="atLeast"/>
        </w:trPr>
        <w:tc>
          <w:tcPr>
            <w:tcW w:w="242" w:type="pct"/>
            <w:tcBorders>
              <w:top w:val="single" w:color="auto" w:sz="4" w:space="0"/>
              <w:left w:val="single" w:color="auto" w:sz="4" w:space="0"/>
              <w:bottom w:val="single" w:color="auto" w:sz="4" w:space="0"/>
              <w:right w:val="single" w:color="auto" w:sz="4" w:space="0"/>
            </w:tcBorders>
            <w:noWrap/>
            <w:vAlign w:val="center"/>
          </w:tcPr>
          <w:p>
            <w:pPr>
              <w:pBdr>
                <w:top w:val="none" w:color="auto" w:sz="0" w:space="1"/>
                <w:left w:val="none" w:color="auto" w:sz="0" w:space="4"/>
                <w:bottom w:val="none" w:color="auto" w:sz="0" w:space="1"/>
                <w:right w:val="none" w:color="auto" w:sz="0" w:space="4"/>
              </w:pBdr>
              <w:spacing w:line="320" w:lineRule="exact"/>
              <w:ind w:firstLine="420" w:firstLineChars="20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11</w:t>
            </w:r>
          </w:p>
        </w:tc>
        <w:tc>
          <w:tcPr>
            <w:tcW w:w="457" w:type="pct"/>
            <w:tcBorders>
              <w:top w:val="single" w:color="auto" w:sz="4" w:space="0"/>
              <w:left w:val="nil"/>
              <w:bottom w:val="single" w:color="auto" w:sz="4" w:space="0"/>
              <w:right w:val="single" w:color="auto" w:sz="4" w:space="0"/>
            </w:tcBorders>
            <w:noWrap/>
            <w:vAlign w:val="center"/>
          </w:tcPr>
          <w:p>
            <w:pPr>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sz w:val="21"/>
                <w:szCs w:val="21"/>
              </w:rPr>
            </w:pPr>
            <w:r>
              <w:rPr>
                <w:rFonts w:hint="eastAsia" w:ascii="仿宋_GB2312" w:hAnsi="宋体" w:cs="Arial"/>
                <w:sz w:val="24"/>
                <w:szCs w:val="20"/>
              </w:rPr>
              <w:t>5G专网和WIFI6无线网建设</w:t>
            </w:r>
            <w:r>
              <w:rPr>
                <w:rFonts w:hint="eastAsia" w:ascii="仿宋_GB2312" w:hAnsi="宋体" w:cs="Arial"/>
                <w:sz w:val="24"/>
                <w:szCs w:val="20"/>
                <w:lang w:val="en-US" w:eastAsia="zh-CN"/>
              </w:rPr>
              <w:t>项目</w:t>
            </w:r>
          </w:p>
        </w:tc>
        <w:tc>
          <w:tcPr>
            <w:tcW w:w="3804" w:type="pct"/>
            <w:tcBorders>
              <w:top w:val="single" w:color="auto" w:sz="4" w:space="0"/>
              <w:left w:val="nil"/>
              <w:bottom w:val="single" w:color="auto" w:sz="4" w:space="0"/>
              <w:right w:val="single" w:color="auto" w:sz="4" w:space="0"/>
            </w:tcBorders>
            <w:noWrap/>
            <w:vAlign w:val="center"/>
          </w:tcPr>
          <w:p>
            <w:pPr>
              <w:pBdr>
                <w:top w:val="none" w:color="auto" w:sz="0" w:space="1"/>
                <w:left w:val="none" w:color="auto" w:sz="0" w:space="4"/>
                <w:bottom w:val="none" w:color="auto" w:sz="0" w:space="1"/>
                <w:right w:val="none" w:color="auto" w:sz="0" w:space="4"/>
              </w:pBdr>
              <w:spacing w:line="320" w:lineRule="exact"/>
              <w:ind w:firstLine="0" w:firstLineChars="0"/>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lang w:val="en-US" w:eastAsia="zh-CN"/>
              </w:rPr>
              <w:t>1</w:t>
            </w:r>
            <w:r>
              <w:rPr>
                <w:rFonts w:hint="eastAsia" w:ascii="仿宋_GB2312" w:hAnsi="仿宋_GB2312" w:eastAsia="仿宋_GB2312" w:cs="仿宋_GB2312"/>
                <w:b w:val="0"/>
                <w:bCs w:val="0"/>
                <w:sz w:val="21"/>
                <w:szCs w:val="21"/>
              </w:rPr>
              <w:t>、5G专网：为了满足教学需要，构建完全物理隔离的 5G专网，来承载室外机动教学的实时视频信息传输，保证数据不出园区。园区约4000亩地。</w:t>
            </w:r>
          </w:p>
          <w:p>
            <w:pPr>
              <w:pBdr>
                <w:top w:val="none" w:color="auto" w:sz="0" w:space="1"/>
                <w:left w:val="none" w:color="auto" w:sz="0" w:space="4"/>
                <w:bottom w:val="none" w:color="auto" w:sz="0" w:space="1"/>
                <w:right w:val="none" w:color="auto" w:sz="0" w:space="4"/>
              </w:pBdr>
              <w:spacing w:line="320" w:lineRule="exact"/>
              <w:ind w:firstLine="0" w:firstLineChars="0"/>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lang w:val="en-US" w:eastAsia="zh-CN"/>
              </w:rPr>
              <w:t>2</w:t>
            </w:r>
            <w:r>
              <w:rPr>
                <w:rFonts w:hint="eastAsia" w:ascii="仿宋_GB2312" w:hAnsi="仿宋_GB2312" w:eastAsia="仿宋_GB2312" w:cs="仿宋_GB2312"/>
                <w:b w:val="0"/>
                <w:bCs w:val="0"/>
                <w:sz w:val="21"/>
                <w:szCs w:val="21"/>
              </w:rPr>
              <w:t>、</w:t>
            </w:r>
            <w:r>
              <w:rPr>
                <w:rFonts w:hint="eastAsia" w:cs="仿宋_GB2312"/>
                <w:sz w:val="21"/>
                <w:szCs w:val="21"/>
                <w:lang w:val="en-US" w:eastAsia="zh-CN"/>
              </w:rPr>
              <w:t>WiFi6无线网</w:t>
            </w:r>
            <w:r>
              <w:rPr>
                <w:rFonts w:hint="eastAsia" w:ascii="仿宋_GB2312" w:hAnsi="仿宋_GB2312" w:eastAsia="仿宋_GB2312" w:cs="仿宋_GB2312"/>
                <w:b w:val="0"/>
                <w:bCs w:val="0"/>
                <w:sz w:val="21"/>
                <w:szCs w:val="21"/>
              </w:rPr>
              <w:t>:为了满足教学需要，在生活保障区（含5栋宿舍楼和1栋生活保障中心），构建无线传输网。</w:t>
            </w:r>
          </w:p>
        </w:tc>
        <w:tc>
          <w:tcPr>
            <w:tcW w:w="494" w:type="pct"/>
            <w:tcBorders>
              <w:top w:val="single" w:color="auto" w:sz="4" w:space="0"/>
              <w:left w:val="nil"/>
              <w:bottom w:val="single" w:color="auto" w:sz="4" w:space="0"/>
              <w:right w:val="single" w:color="auto" w:sz="4" w:space="0"/>
            </w:tcBorders>
            <w:noWrap/>
            <w:vAlign w:val="center"/>
          </w:tcPr>
          <w:p>
            <w:pPr>
              <w:widowControl/>
              <w:spacing w:line="320" w:lineRule="exact"/>
              <w:ind w:firstLine="0" w:firstLineChars="0"/>
              <w:jc w:val="left"/>
              <w:rPr>
                <w:rFonts w:hint="eastAsia" w:ascii="仿宋_GB2312" w:hAnsi="仿宋_GB2312" w:eastAsia="仿宋_GB2312" w:cs="仿宋_GB2312"/>
                <w:kern w:val="0"/>
                <w:sz w:val="21"/>
                <w:szCs w:val="21"/>
              </w:rPr>
            </w:pPr>
          </w:p>
        </w:tc>
      </w:tr>
    </w:tbl>
    <w:p>
      <w:pPr>
        <w:bidi w:val="0"/>
        <w:rPr>
          <w:rFonts w:hint="default"/>
          <w:lang w:val="en-US" w:eastAsia="zh-CN"/>
        </w:rPr>
      </w:pPr>
    </w:p>
    <w:p>
      <w:pPr>
        <w:pStyle w:val="2"/>
        <w:numPr>
          <w:ilvl w:val="0"/>
          <w:numId w:val="3"/>
        </w:numPr>
        <w:ind w:firstLine="640"/>
        <w:rPr>
          <w:rFonts w:hint="eastAsia"/>
          <w:highlight w:val="none"/>
          <w:lang w:val="en-US" w:eastAsia="zh-CN"/>
        </w:rPr>
      </w:pPr>
      <w:r>
        <w:rPr>
          <w:rFonts w:hint="eastAsia"/>
          <w:highlight w:val="none"/>
          <w:lang w:val="en-US" w:eastAsia="zh-CN"/>
        </w:rPr>
        <w:t>适用标准</w:t>
      </w:r>
    </w:p>
    <w:tbl>
      <w:tblPr>
        <w:tblStyle w:val="1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827"/>
        <w:gridCol w:w="960"/>
        <w:gridCol w:w="1385"/>
        <w:gridCol w:w="1187"/>
        <w:gridCol w:w="1790"/>
        <w:gridCol w:w="1718"/>
        <w:gridCol w:w="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blHeader/>
        </w:trPr>
        <w:tc>
          <w:tcPr>
            <w:tcW w:w="241" w:type="pct"/>
            <w:noWrap/>
            <w:vAlign w:val="center"/>
          </w:tcPr>
          <w:p>
            <w:pPr>
              <w:widowControl/>
              <w:spacing w:line="320" w:lineRule="exact"/>
              <w:ind w:firstLine="0" w:firstLineChars="0"/>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序号</w:t>
            </w:r>
          </w:p>
        </w:tc>
        <w:tc>
          <w:tcPr>
            <w:tcW w:w="456" w:type="pct"/>
            <w:noWrap/>
            <w:vAlign w:val="center"/>
          </w:tcPr>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标准号</w:t>
            </w:r>
          </w:p>
        </w:tc>
        <w:tc>
          <w:tcPr>
            <w:tcW w:w="529" w:type="pct"/>
            <w:noWrap/>
            <w:vAlign w:val="center"/>
          </w:tcPr>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标准</w:t>
            </w:r>
          </w:p>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名称</w:t>
            </w:r>
          </w:p>
        </w:tc>
        <w:tc>
          <w:tcPr>
            <w:tcW w:w="764" w:type="pct"/>
            <w:noWrap/>
            <w:vAlign w:val="center"/>
          </w:tcPr>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标准级别</w:t>
            </w:r>
          </w:p>
        </w:tc>
        <w:tc>
          <w:tcPr>
            <w:tcW w:w="655" w:type="pct"/>
            <w:noWrap/>
            <w:vAlign w:val="center"/>
          </w:tcPr>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标准性质</w:t>
            </w:r>
          </w:p>
        </w:tc>
        <w:tc>
          <w:tcPr>
            <w:tcW w:w="987" w:type="pct"/>
            <w:noWrap/>
            <w:vAlign w:val="center"/>
          </w:tcPr>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适用范围</w:t>
            </w:r>
          </w:p>
        </w:tc>
        <w:tc>
          <w:tcPr>
            <w:tcW w:w="948" w:type="pct"/>
            <w:noWrap/>
            <w:vAlign w:val="center"/>
          </w:tcPr>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代码含义</w:t>
            </w:r>
          </w:p>
        </w:tc>
        <w:tc>
          <w:tcPr>
            <w:tcW w:w="417" w:type="pct"/>
            <w:noWrap/>
            <w:vAlign w:val="center"/>
          </w:tcPr>
          <w:p>
            <w:pPr>
              <w:widowControl/>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9" w:hRule="atLeast"/>
        </w:trPr>
        <w:tc>
          <w:tcPr>
            <w:tcW w:w="241"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rPr>
            </w:pPr>
            <w:r>
              <w:rPr>
                <w:rFonts w:hint="eastAsia" w:cs="仿宋_GB2312"/>
                <w:kern w:val="0"/>
                <w:sz w:val="21"/>
                <w:szCs w:val="21"/>
                <w:lang w:val="en-US" w:eastAsia="zh-CN"/>
              </w:rPr>
              <w:t>1</w:t>
            </w:r>
          </w:p>
        </w:tc>
        <w:tc>
          <w:tcPr>
            <w:tcW w:w="456" w:type="pct"/>
            <w:noWrap/>
            <w:vAlign w:val="center"/>
          </w:tcPr>
          <w:p>
            <w:pPr>
              <w:widowControl/>
              <w:spacing w:line="320" w:lineRule="exact"/>
              <w:ind w:firstLine="0" w:firstLineChars="0"/>
              <w:jc w:val="center"/>
              <w:rPr>
                <w:rFonts w:hint="default"/>
                <w:lang w:val="en-US" w:eastAsia="zh-CN"/>
              </w:rPr>
            </w:pPr>
            <w:r>
              <w:rPr>
                <w:rFonts w:hint="default" w:ascii="仿宋_GB2312" w:hAnsi="仿宋_GB2312" w:eastAsia="仿宋_GB2312" w:cs="仿宋_GB2312"/>
                <w:kern w:val="0"/>
                <w:sz w:val="21"/>
                <w:szCs w:val="21"/>
                <w:lang w:val="en-US" w:eastAsia="zh-CN"/>
              </w:rPr>
              <w:t>YD/T 3616-2019</w:t>
            </w:r>
          </w:p>
        </w:tc>
        <w:tc>
          <w:tcPr>
            <w:tcW w:w="529" w:type="pct"/>
            <w:noWrap w:val="0"/>
            <w:vAlign w:val="center"/>
          </w:tcPr>
          <w:p>
            <w:pPr>
              <w:widowControl/>
              <w:spacing w:line="320" w:lineRule="exact"/>
              <w:ind w:firstLine="0" w:firstLineChars="0"/>
              <w:jc w:val="center"/>
              <w:rPr>
                <w:rFonts w:hint="default" w:ascii="仿宋_GB2312" w:hAnsi="仿宋_GB2312" w:eastAsia="仿宋_GB2312" w:cs="仿宋_GB2312"/>
                <w:kern w:val="0"/>
                <w:sz w:val="21"/>
                <w:szCs w:val="21"/>
                <w:lang w:val="en-US" w:eastAsia="zh-CN"/>
              </w:rPr>
            </w:pPr>
            <w:r>
              <w:rPr>
                <w:rFonts w:hint="eastAsia" w:cs="仿宋_GB2312"/>
                <w:kern w:val="0"/>
                <w:sz w:val="21"/>
                <w:szCs w:val="21"/>
                <w:lang w:val="en-US" w:eastAsia="zh-CN"/>
              </w:rPr>
              <w:t>5G移动通信网核心网网络功能技术要求</w:t>
            </w:r>
          </w:p>
        </w:tc>
        <w:tc>
          <w:tcPr>
            <w:tcW w:w="764"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国家标准</w:t>
            </w:r>
            <w:r>
              <w:rPr>
                <w:rFonts w:hint="eastAsia" w:cs="仿宋_GB2312"/>
                <w:kern w:val="0"/>
                <w:sz w:val="21"/>
                <w:szCs w:val="21"/>
                <w:lang w:eastAsia="zh-CN"/>
              </w:rPr>
              <w:t>□</w:t>
            </w:r>
          </w:p>
          <w:p>
            <w:pPr>
              <w:widowControl/>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军用标准☐</w:t>
            </w:r>
            <w:r>
              <w:rPr>
                <w:rFonts w:hint="eastAsia" w:ascii="仿宋_GB2312" w:hAnsi="仿宋_GB2312" w:eastAsia="仿宋_GB2312" w:cs="仿宋_GB2312"/>
                <w:kern w:val="0"/>
                <w:sz w:val="21"/>
                <w:szCs w:val="21"/>
              </w:rPr>
              <w:br w:type="textWrapping"/>
            </w:r>
            <w:r>
              <w:rPr>
                <w:rFonts w:hint="eastAsia" w:ascii="仿宋_GB2312" w:hAnsi="仿宋_GB2312" w:eastAsia="仿宋_GB2312" w:cs="仿宋_GB2312"/>
                <w:kern w:val="0"/>
                <w:sz w:val="21"/>
                <w:szCs w:val="21"/>
              </w:rPr>
              <w:t>行业标准☑</w:t>
            </w:r>
            <w:r>
              <w:rPr>
                <w:rFonts w:hint="eastAsia" w:ascii="仿宋_GB2312" w:hAnsi="仿宋_GB2312" w:eastAsia="仿宋_GB2312" w:cs="仿宋_GB2312"/>
                <w:kern w:val="0"/>
                <w:sz w:val="21"/>
                <w:szCs w:val="21"/>
              </w:rPr>
              <w:br w:type="textWrapping"/>
            </w:r>
            <w:r>
              <w:rPr>
                <w:rFonts w:hint="eastAsia" w:ascii="仿宋_GB2312" w:hAnsi="仿宋_GB2312" w:eastAsia="仿宋_GB2312" w:cs="仿宋_GB2312"/>
                <w:kern w:val="0"/>
                <w:sz w:val="21"/>
                <w:szCs w:val="21"/>
              </w:rPr>
              <w:t>地方标准及其他标准规范      ☐</w:t>
            </w:r>
          </w:p>
        </w:tc>
        <w:tc>
          <w:tcPr>
            <w:tcW w:w="655"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强制性☐</w:t>
            </w:r>
            <w:r>
              <w:rPr>
                <w:rFonts w:hint="eastAsia" w:ascii="仿宋_GB2312" w:hAnsi="仿宋_GB2312" w:eastAsia="仿宋_GB2312" w:cs="仿宋_GB2312"/>
                <w:kern w:val="0"/>
                <w:sz w:val="21"/>
                <w:szCs w:val="21"/>
              </w:rPr>
              <w:br w:type="textWrapping"/>
            </w:r>
            <w:r>
              <w:rPr>
                <w:rFonts w:hint="eastAsia" w:ascii="仿宋_GB2312" w:hAnsi="仿宋_GB2312" w:eastAsia="仿宋_GB2312" w:cs="仿宋_GB2312"/>
                <w:kern w:val="0"/>
                <w:sz w:val="21"/>
                <w:szCs w:val="21"/>
              </w:rPr>
              <w:t>推荐性☑</w:t>
            </w:r>
          </w:p>
        </w:tc>
        <w:tc>
          <w:tcPr>
            <w:tcW w:w="987" w:type="pct"/>
            <w:noWrap w:val="0"/>
            <w:vAlign w:val="center"/>
          </w:tcPr>
          <w:p>
            <w:pPr>
              <w:widowControl/>
              <w:spacing w:line="320" w:lineRule="exact"/>
              <w:ind w:firstLine="0" w:firstLineChars="0"/>
              <w:jc w:val="left"/>
              <w:rPr>
                <w:rFonts w:hint="default" w:ascii="仿宋_GB2312" w:hAnsi="仿宋_GB2312" w:eastAsia="仿宋_GB2312" w:cs="仿宋_GB2312"/>
                <w:kern w:val="0"/>
                <w:sz w:val="21"/>
                <w:szCs w:val="21"/>
                <w:lang w:val="en-US" w:eastAsia="zh-CN"/>
              </w:rPr>
            </w:pPr>
            <w:r>
              <w:rPr>
                <w:rFonts w:hint="default" w:ascii="仿宋_GB2312" w:hAnsi="仿宋_GB2312" w:eastAsia="仿宋_GB2312" w:cs="仿宋_GB2312"/>
                <w:kern w:val="0"/>
                <w:sz w:val="21"/>
                <w:szCs w:val="21"/>
                <w:lang w:val="en-US" w:eastAsia="zh-CN"/>
              </w:rPr>
              <w:t>本标准适用于基于SA架构的5G核心网网络功能，包括AMF、SMF、UPF、UDM、AUSF、NRF、NSSF等。</w:t>
            </w:r>
          </w:p>
        </w:tc>
        <w:tc>
          <w:tcPr>
            <w:tcW w:w="948" w:type="pct"/>
            <w:noWrap w:val="0"/>
            <w:vAlign w:val="center"/>
          </w:tcPr>
          <w:p>
            <w:pPr>
              <w:widowControl/>
              <w:spacing w:line="320" w:lineRule="exact"/>
              <w:ind w:firstLine="0" w:firstLineChars="0"/>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编号由工业和信息化部通信行业标准的代号(YD/T)+行业标准发布的顺序号(3616)+行业标准发布的年号(2019)构成。</w:t>
            </w:r>
          </w:p>
        </w:tc>
        <w:tc>
          <w:tcPr>
            <w:tcW w:w="417" w:type="pct"/>
            <w:noWrap/>
            <w:vAlign w:val="center"/>
          </w:tcPr>
          <w:p>
            <w:pPr>
              <w:widowControl/>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1" w:type="pct"/>
            <w:noWrap/>
            <w:vAlign w:val="center"/>
          </w:tcPr>
          <w:p>
            <w:pPr>
              <w:widowControl/>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2</w:t>
            </w:r>
          </w:p>
        </w:tc>
        <w:tc>
          <w:tcPr>
            <w:tcW w:w="456" w:type="pct"/>
            <w:noWrap/>
            <w:vAlign w:val="center"/>
          </w:tcPr>
          <w:p>
            <w:pPr>
              <w:widowControl/>
              <w:spacing w:line="320" w:lineRule="exact"/>
              <w:ind w:firstLine="0" w:firstLineChars="0"/>
              <w:jc w:val="center"/>
              <w:rPr>
                <w:rFonts w:hint="default"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YD/T 3618-2019</w:t>
            </w:r>
          </w:p>
        </w:tc>
        <w:tc>
          <w:tcPr>
            <w:tcW w:w="529" w:type="pct"/>
            <w:noWrap w:val="0"/>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5G数字蜂窝移动通信网无线接入网总体技术要求(第一阶段）</w:t>
            </w:r>
          </w:p>
        </w:tc>
        <w:tc>
          <w:tcPr>
            <w:tcW w:w="764"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国家标准□</w:t>
            </w:r>
          </w:p>
          <w:p>
            <w:pPr>
              <w:widowControl/>
              <w:spacing w:line="320" w:lineRule="exact"/>
              <w:ind w:firstLine="0" w:firstLineChars="0"/>
              <w:jc w:val="center"/>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军用标准☐</w:t>
            </w:r>
            <w:r>
              <w:rPr>
                <w:rFonts w:hint="eastAsia" w:ascii="仿宋_GB2312" w:hAnsi="仿宋_GB2312" w:eastAsia="仿宋_GB2312" w:cs="仿宋_GB2312"/>
                <w:kern w:val="0"/>
                <w:sz w:val="21"/>
                <w:szCs w:val="21"/>
                <w:lang w:val="en-US" w:eastAsia="zh-CN"/>
              </w:rPr>
              <w:br w:type="textWrapping"/>
            </w:r>
            <w:r>
              <w:rPr>
                <w:rFonts w:hint="eastAsia" w:ascii="仿宋_GB2312" w:hAnsi="仿宋_GB2312" w:eastAsia="仿宋_GB2312" w:cs="仿宋_GB2312"/>
                <w:kern w:val="0"/>
                <w:sz w:val="21"/>
                <w:szCs w:val="21"/>
                <w:lang w:val="en-US" w:eastAsia="zh-CN"/>
              </w:rPr>
              <w:t>行业标准☑</w:t>
            </w:r>
            <w:r>
              <w:rPr>
                <w:rFonts w:hint="eastAsia" w:ascii="仿宋_GB2312" w:hAnsi="仿宋_GB2312" w:eastAsia="仿宋_GB2312" w:cs="仿宋_GB2312"/>
                <w:kern w:val="0"/>
                <w:sz w:val="21"/>
                <w:szCs w:val="21"/>
                <w:lang w:val="en-US" w:eastAsia="zh-CN"/>
              </w:rPr>
              <w:br w:type="textWrapping"/>
            </w:r>
            <w:r>
              <w:rPr>
                <w:rFonts w:hint="eastAsia" w:ascii="仿宋_GB2312" w:hAnsi="仿宋_GB2312" w:eastAsia="仿宋_GB2312" w:cs="仿宋_GB2312"/>
                <w:kern w:val="0"/>
                <w:sz w:val="21"/>
                <w:szCs w:val="21"/>
                <w:lang w:val="en-US" w:eastAsia="zh-CN"/>
              </w:rPr>
              <w:t>地方标准及其他标准规范      ☐</w:t>
            </w:r>
          </w:p>
        </w:tc>
        <w:tc>
          <w:tcPr>
            <w:tcW w:w="655"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强制性☐</w:t>
            </w:r>
            <w:r>
              <w:rPr>
                <w:rFonts w:hint="eastAsia" w:ascii="仿宋_GB2312" w:hAnsi="仿宋_GB2312" w:eastAsia="仿宋_GB2312" w:cs="仿宋_GB2312"/>
                <w:kern w:val="0"/>
                <w:sz w:val="21"/>
                <w:szCs w:val="21"/>
                <w:lang w:val="en-US" w:eastAsia="zh-CN"/>
              </w:rPr>
              <w:br w:type="textWrapping"/>
            </w:r>
            <w:r>
              <w:rPr>
                <w:rFonts w:hint="eastAsia" w:ascii="仿宋_GB2312" w:hAnsi="仿宋_GB2312" w:eastAsia="仿宋_GB2312" w:cs="仿宋_GB2312"/>
                <w:kern w:val="0"/>
                <w:sz w:val="21"/>
                <w:szCs w:val="21"/>
                <w:lang w:val="en-US" w:eastAsia="zh-CN"/>
              </w:rPr>
              <w:t>推荐性☑</w:t>
            </w:r>
          </w:p>
        </w:tc>
        <w:tc>
          <w:tcPr>
            <w:tcW w:w="987" w:type="pct"/>
            <w:noWrap w:val="0"/>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本标准适用于5G数字蜂窝移动通信网基站设备和终端。</w:t>
            </w:r>
          </w:p>
        </w:tc>
        <w:tc>
          <w:tcPr>
            <w:tcW w:w="948" w:type="pct"/>
            <w:noWrap w:val="0"/>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编号由工业和信息化部通信行业标准的代号(YD/T)+行业标准发布的顺序号(3618)+行业标准发布的年号(2019)构成。</w:t>
            </w:r>
          </w:p>
        </w:tc>
        <w:tc>
          <w:tcPr>
            <w:tcW w:w="417" w:type="pct"/>
            <w:noWrap/>
            <w:vAlign w:val="center"/>
          </w:tcPr>
          <w:p>
            <w:pPr>
              <w:widowControl/>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9" w:hRule="atLeast"/>
        </w:trPr>
        <w:tc>
          <w:tcPr>
            <w:tcW w:w="241"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cs="仿宋_GB2312"/>
                <w:kern w:val="0"/>
                <w:sz w:val="21"/>
                <w:szCs w:val="21"/>
                <w:lang w:val="en-US" w:eastAsia="zh-CN"/>
              </w:rPr>
              <w:t>1</w:t>
            </w:r>
          </w:p>
        </w:tc>
        <w:tc>
          <w:tcPr>
            <w:tcW w:w="456"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ascii="仿宋_GB2312" w:hAnsi="仿宋_GB2312" w:eastAsia="仿宋_GB2312" w:cs="仿宋_GB2312"/>
                <w:kern w:val="0"/>
                <w:sz w:val="21"/>
                <w:szCs w:val="21"/>
              </w:rPr>
              <w:t xml:space="preserve">GB/T </w:t>
            </w:r>
            <w:r>
              <w:rPr>
                <w:rFonts w:hint="eastAsia" w:cs="仿宋_GB2312"/>
                <w:kern w:val="0"/>
                <w:sz w:val="21"/>
                <w:szCs w:val="21"/>
                <w:lang w:val="en-US" w:eastAsia="zh-CN"/>
              </w:rPr>
              <w:t>3873</w:t>
            </w:r>
            <w:r>
              <w:rPr>
                <w:rFonts w:hint="eastAsia" w:ascii="仿宋_GB2312" w:hAnsi="仿宋_GB2312" w:eastAsia="仿宋_GB2312" w:cs="仿宋_GB2312"/>
                <w:kern w:val="0"/>
                <w:sz w:val="21"/>
                <w:szCs w:val="21"/>
              </w:rPr>
              <w:t>-</w:t>
            </w:r>
            <w:r>
              <w:rPr>
                <w:rFonts w:hint="eastAsia" w:cs="仿宋_GB2312"/>
                <w:kern w:val="0"/>
                <w:sz w:val="21"/>
                <w:szCs w:val="21"/>
                <w:lang w:val="en-US" w:eastAsia="zh-CN"/>
              </w:rPr>
              <w:t>1983</w:t>
            </w:r>
          </w:p>
        </w:tc>
        <w:tc>
          <w:tcPr>
            <w:tcW w:w="529" w:type="pct"/>
            <w:noWrap w:val="0"/>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cs="仿宋_GB2312"/>
                <w:kern w:val="0"/>
                <w:sz w:val="21"/>
                <w:szCs w:val="21"/>
                <w:lang w:val="en-US" w:eastAsia="zh-CN"/>
              </w:rPr>
              <w:t>通信设备产品包装通用技术条件</w:t>
            </w:r>
          </w:p>
        </w:tc>
        <w:tc>
          <w:tcPr>
            <w:tcW w:w="764"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国家标准☑</w:t>
            </w:r>
          </w:p>
          <w:p>
            <w:pPr>
              <w:widowControl/>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ascii="仿宋_GB2312" w:hAnsi="仿宋_GB2312" w:eastAsia="仿宋_GB2312" w:cs="仿宋_GB2312"/>
                <w:kern w:val="0"/>
                <w:sz w:val="21"/>
                <w:szCs w:val="21"/>
              </w:rPr>
              <w:t>军用标准☐</w:t>
            </w:r>
            <w:r>
              <w:rPr>
                <w:rFonts w:hint="eastAsia" w:ascii="仿宋_GB2312" w:hAnsi="仿宋_GB2312" w:eastAsia="仿宋_GB2312" w:cs="仿宋_GB2312"/>
                <w:kern w:val="0"/>
                <w:sz w:val="21"/>
                <w:szCs w:val="21"/>
              </w:rPr>
              <w:br w:type="textWrapping"/>
            </w:r>
            <w:r>
              <w:rPr>
                <w:rFonts w:hint="eastAsia" w:ascii="仿宋_GB2312" w:hAnsi="仿宋_GB2312" w:eastAsia="仿宋_GB2312" w:cs="仿宋_GB2312"/>
                <w:kern w:val="0"/>
                <w:sz w:val="21"/>
                <w:szCs w:val="21"/>
              </w:rPr>
              <w:t>行业标准☐</w:t>
            </w:r>
            <w:r>
              <w:rPr>
                <w:rFonts w:hint="eastAsia" w:ascii="仿宋_GB2312" w:hAnsi="仿宋_GB2312" w:eastAsia="仿宋_GB2312" w:cs="仿宋_GB2312"/>
                <w:kern w:val="0"/>
                <w:sz w:val="21"/>
                <w:szCs w:val="21"/>
              </w:rPr>
              <w:br w:type="textWrapping"/>
            </w:r>
            <w:r>
              <w:rPr>
                <w:rFonts w:hint="eastAsia" w:ascii="仿宋_GB2312" w:hAnsi="仿宋_GB2312" w:eastAsia="仿宋_GB2312" w:cs="仿宋_GB2312"/>
                <w:kern w:val="0"/>
                <w:sz w:val="21"/>
                <w:szCs w:val="21"/>
              </w:rPr>
              <w:t>地方标准及其他标准规范      ☐</w:t>
            </w:r>
          </w:p>
        </w:tc>
        <w:tc>
          <w:tcPr>
            <w:tcW w:w="655"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ascii="仿宋_GB2312" w:hAnsi="仿宋_GB2312" w:eastAsia="仿宋_GB2312" w:cs="仿宋_GB2312"/>
                <w:kern w:val="0"/>
                <w:sz w:val="21"/>
                <w:szCs w:val="21"/>
              </w:rPr>
              <w:t>强制性☐</w:t>
            </w:r>
            <w:r>
              <w:rPr>
                <w:rFonts w:hint="eastAsia" w:ascii="仿宋_GB2312" w:hAnsi="仿宋_GB2312" w:eastAsia="仿宋_GB2312" w:cs="仿宋_GB2312"/>
                <w:kern w:val="0"/>
                <w:sz w:val="21"/>
                <w:szCs w:val="21"/>
              </w:rPr>
              <w:br w:type="textWrapping"/>
            </w:r>
            <w:r>
              <w:rPr>
                <w:rFonts w:hint="eastAsia" w:ascii="仿宋_GB2312" w:hAnsi="仿宋_GB2312" w:eastAsia="仿宋_GB2312" w:cs="仿宋_GB2312"/>
                <w:kern w:val="0"/>
                <w:sz w:val="21"/>
                <w:szCs w:val="21"/>
              </w:rPr>
              <w:t>推荐性☑</w:t>
            </w:r>
          </w:p>
        </w:tc>
        <w:tc>
          <w:tcPr>
            <w:tcW w:w="987" w:type="pct"/>
            <w:noWrap w:val="0"/>
            <w:vAlign w:val="center"/>
          </w:tcPr>
          <w:p>
            <w:pPr>
              <w:widowControl/>
              <w:spacing w:line="320" w:lineRule="exact"/>
              <w:ind w:firstLine="0" w:firstLineChars="0"/>
              <w:jc w:val="left"/>
              <w:rPr>
                <w:rFonts w:hint="eastAsia" w:ascii="仿宋_GB2312" w:hAnsi="仿宋_GB2312" w:eastAsia="仿宋_GB2312" w:cs="仿宋_GB2312"/>
                <w:kern w:val="0"/>
                <w:sz w:val="21"/>
                <w:szCs w:val="21"/>
                <w:lang w:val="en-US" w:eastAsia="zh-CN" w:bidi="ar-SA"/>
              </w:rPr>
            </w:pPr>
            <w:r>
              <w:rPr>
                <w:rFonts w:hint="eastAsia" w:cs="仿宋_GB2312"/>
                <w:kern w:val="0"/>
                <w:sz w:val="21"/>
                <w:szCs w:val="21"/>
                <w:lang w:val="en-US" w:eastAsia="zh-CN"/>
              </w:rPr>
              <w:t>适用</w:t>
            </w:r>
            <w:r>
              <w:rPr>
                <w:rFonts w:hint="eastAsia" w:ascii="仿宋_GB2312" w:hAnsi="仿宋_GB2312" w:eastAsia="仿宋_GB2312" w:cs="仿宋_GB2312"/>
                <w:kern w:val="0"/>
                <w:sz w:val="21"/>
                <w:szCs w:val="21"/>
              </w:rPr>
              <w:t>于</w:t>
            </w:r>
            <w:r>
              <w:rPr>
                <w:rFonts w:hint="eastAsia" w:cs="仿宋_GB2312"/>
                <w:kern w:val="0"/>
                <w:sz w:val="21"/>
                <w:szCs w:val="21"/>
                <w:lang w:val="en-US" w:eastAsia="zh-CN"/>
              </w:rPr>
              <w:t>通信设备产品的设计、生产、测试和验收。本标准是制定产品标准的依据。</w:t>
            </w:r>
          </w:p>
        </w:tc>
        <w:tc>
          <w:tcPr>
            <w:tcW w:w="948" w:type="pct"/>
            <w:noWrap w:val="0"/>
            <w:vAlign w:val="center"/>
          </w:tcPr>
          <w:p>
            <w:pPr>
              <w:widowControl/>
              <w:spacing w:line="320" w:lineRule="exact"/>
              <w:ind w:firstLine="0" w:firstLineChars="0"/>
              <w:jc w:val="left"/>
              <w:rPr>
                <w:rFonts w:hint="eastAsia" w:ascii="仿宋_GB2312" w:hAnsi="仿宋_GB2312" w:eastAsia="仿宋_GB2312" w:cs="仿宋_GB2312"/>
                <w:kern w:val="0"/>
                <w:sz w:val="21"/>
                <w:szCs w:val="21"/>
                <w:lang w:val="en-US" w:eastAsia="zh-CN" w:bidi="ar-SA"/>
              </w:rPr>
            </w:pPr>
            <w:r>
              <w:rPr>
                <w:rFonts w:hint="eastAsia" w:ascii="仿宋_GB2312" w:hAnsi="仿宋_GB2312" w:eastAsia="仿宋_GB2312" w:cs="仿宋_GB2312"/>
                <w:kern w:val="0"/>
                <w:sz w:val="21"/>
                <w:szCs w:val="21"/>
              </w:rPr>
              <w:t>编号由国家标准的代号(GB/T)+国家标准发布的顺序号(</w:t>
            </w:r>
            <w:r>
              <w:rPr>
                <w:rFonts w:hint="eastAsia" w:cs="仿宋_GB2312"/>
                <w:kern w:val="0"/>
                <w:sz w:val="21"/>
                <w:szCs w:val="21"/>
                <w:lang w:val="en-US" w:eastAsia="zh-CN"/>
              </w:rPr>
              <w:t>3873</w:t>
            </w:r>
            <w:r>
              <w:rPr>
                <w:rFonts w:hint="eastAsia" w:ascii="仿宋_GB2312" w:hAnsi="仿宋_GB2312" w:eastAsia="仿宋_GB2312" w:cs="仿宋_GB2312"/>
                <w:kern w:val="0"/>
                <w:sz w:val="21"/>
                <w:szCs w:val="21"/>
              </w:rPr>
              <w:t>)+国家标准发布的年号(</w:t>
            </w:r>
            <w:r>
              <w:rPr>
                <w:rFonts w:hint="eastAsia" w:cs="仿宋_GB2312"/>
                <w:kern w:val="0"/>
                <w:sz w:val="21"/>
                <w:szCs w:val="21"/>
                <w:lang w:val="en-US" w:eastAsia="zh-CN"/>
              </w:rPr>
              <w:t>1983</w:t>
            </w:r>
            <w:r>
              <w:rPr>
                <w:rFonts w:hint="eastAsia" w:ascii="仿宋_GB2312" w:hAnsi="仿宋_GB2312" w:eastAsia="仿宋_GB2312" w:cs="仿宋_GB2312"/>
                <w:kern w:val="0"/>
                <w:sz w:val="21"/>
                <w:szCs w:val="21"/>
              </w:rPr>
              <w:t>)构成。</w:t>
            </w:r>
          </w:p>
        </w:tc>
        <w:tc>
          <w:tcPr>
            <w:tcW w:w="417" w:type="pct"/>
            <w:noWrap/>
            <w:vAlign w:val="center"/>
          </w:tcPr>
          <w:p>
            <w:pPr>
              <w:widowControl/>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9" w:hRule="atLeast"/>
        </w:trPr>
        <w:tc>
          <w:tcPr>
            <w:tcW w:w="241"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cs="仿宋_GB2312"/>
                <w:kern w:val="0"/>
                <w:sz w:val="21"/>
                <w:szCs w:val="21"/>
                <w:lang w:val="en-US" w:eastAsia="zh-CN"/>
              </w:rPr>
              <w:t>2</w:t>
            </w:r>
          </w:p>
        </w:tc>
        <w:tc>
          <w:tcPr>
            <w:tcW w:w="456"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ascii="仿宋_GB2312" w:hAnsi="仿宋_GB2312" w:eastAsia="仿宋_GB2312" w:cs="仿宋_GB2312"/>
                <w:kern w:val="0"/>
                <w:sz w:val="21"/>
                <w:szCs w:val="21"/>
              </w:rPr>
              <w:t xml:space="preserve">GB/T </w:t>
            </w:r>
            <w:r>
              <w:rPr>
                <w:rFonts w:hint="eastAsia" w:cs="仿宋_GB2312"/>
                <w:kern w:val="0"/>
                <w:sz w:val="21"/>
                <w:szCs w:val="21"/>
                <w:lang w:val="en-US" w:eastAsia="zh-CN"/>
              </w:rPr>
              <w:t>13426</w:t>
            </w:r>
            <w:r>
              <w:rPr>
                <w:rFonts w:hint="eastAsia" w:ascii="仿宋_GB2312" w:hAnsi="仿宋_GB2312" w:eastAsia="仿宋_GB2312" w:cs="仿宋_GB2312"/>
                <w:kern w:val="0"/>
                <w:sz w:val="21"/>
                <w:szCs w:val="21"/>
              </w:rPr>
              <w:t>-</w:t>
            </w:r>
            <w:r>
              <w:rPr>
                <w:rFonts w:hint="eastAsia" w:cs="仿宋_GB2312"/>
                <w:kern w:val="0"/>
                <w:sz w:val="21"/>
                <w:szCs w:val="21"/>
                <w:lang w:val="en-US" w:eastAsia="zh-CN"/>
              </w:rPr>
              <w:t>1992</w:t>
            </w:r>
          </w:p>
        </w:tc>
        <w:tc>
          <w:tcPr>
            <w:tcW w:w="529" w:type="pct"/>
            <w:noWrap w:val="0"/>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cs="仿宋_GB2312"/>
                <w:kern w:val="0"/>
                <w:sz w:val="21"/>
                <w:szCs w:val="21"/>
                <w:lang w:val="en-US" w:eastAsia="zh-CN"/>
              </w:rPr>
              <w:t>数字通信设备的可靠性要求和试验方法</w:t>
            </w:r>
          </w:p>
        </w:tc>
        <w:tc>
          <w:tcPr>
            <w:tcW w:w="764"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国家标准☑</w:t>
            </w:r>
          </w:p>
          <w:p>
            <w:pPr>
              <w:widowControl/>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ascii="仿宋_GB2312" w:hAnsi="仿宋_GB2312" w:eastAsia="仿宋_GB2312" w:cs="仿宋_GB2312"/>
                <w:kern w:val="0"/>
                <w:sz w:val="21"/>
                <w:szCs w:val="21"/>
              </w:rPr>
              <w:t>军用标准☐</w:t>
            </w:r>
            <w:r>
              <w:rPr>
                <w:rFonts w:hint="eastAsia" w:ascii="仿宋_GB2312" w:hAnsi="仿宋_GB2312" w:eastAsia="仿宋_GB2312" w:cs="仿宋_GB2312"/>
                <w:kern w:val="0"/>
                <w:sz w:val="21"/>
                <w:szCs w:val="21"/>
              </w:rPr>
              <w:br w:type="textWrapping"/>
            </w:r>
            <w:r>
              <w:rPr>
                <w:rFonts w:hint="eastAsia" w:ascii="仿宋_GB2312" w:hAnsi="仿宋_GB2312" w:eastAsia="仿宋_GB2312" w:cs="仿宋_GB2312"/>
                <w:kern w:val="0"/>
                <w:sz w:val="21"/>
                <w:szCs w:val="21"/>
              </w:rPr>
              <w:t>行业标准☐</w:t>
            </w:r>
            <w:r>
              <w:rPr>
                <w:rFonts w:hint="eastAsia" w:ascii="仿宋_GB2312" w:hAnsi="仿宋_GB2312" w:eastAsia="仿宋_GB2312" w:cs="仿宋_GB2312"/>
                <w:kern w:val="0"/>
                <w:sz w:val="21"/>
                <w:szCs w:val="21"/>
              </w:rPr>
              <w:br w:type="textWrapping"/>
            </w:r>
            <w:r>
              <w:rPr>
                <w:rFonts w:hint="eastAsia" w:ascii="仿宋_GB2312" w:hAnsi="仿宋_GB2312" w:eastAsia="仿宋_GB2312" w:cs="仿宋_GB2312"/>
                <w:kern w:val="0"/>
                <w:sz w:val="21"/>
                <w:szCs w:val="21"/>
              </w:rPr>
              <w:t>地方标准及其他标准规范      ☐</w:t>
            </w:r>
          </w:p>
        </w:tc>
        <w:tc>
          <w:tcPr>
            <w:tcW w:w="655" w:type="pct"/>
            <w:noWrap/>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ascii="仿宋_GB2312" w:hAnsi="仿宋_GB2312" w:eastAsia="仿宋_GB2312" w:cs="仿宋_GB2312"/>
                <w:kern w:val="0"/>
                <w:sz w:val="21"/>
                <w:szCs w:val="21"/>
              </w:rPr>
              <w:t>强制性☐</w:t>
            </w:r>
            <w:r>
              <w:rPr>
                <w:rFonts w:hint="eastAsia" w:ascii="仿宋_GB2312" w:hAnsi="仿宋_GB2312" w:eastAsia="仿宋_GB2312" w:cs="仿宋_GB2312"/>
                <w:kern w:val="0"/>
                <w:sz w:val="21"/>
                <w:szCs w:val="21"/>
              </w:rPr>
              <w:br w:type="textWrapping"/>
            </w:r>
            <w:r>
              <w:rPr>
                <w:rFonts w:hint="eastAsia" w:ascii="仿宋_GB2312" w:hAnsi="仿宋_GB2312" w:eastAsia="仿宋_GB2312" w:cs="仿宋_GB2312"/>
                <w:kern w:val="0"/>
                <w:sz w:val="21"/>
                <w:szCs w:val="21"/>
              </w:rPr>
              <w:t>推荐性☑</w:t>
            </w:r>
          </w:p>
        </w:tc>
        <w:tc>
          <w:tcPr>
            <w:tcW w:w="987" w:type="pct"/>
            <w:noWrap w:val="0"/>
            <w:vAlign w:val="center"/>
          </w:tcPr>
          <w:p>
            <w:pPr>
              <w:widowControl/>
              <w:spacing w:line="320" w:lineRule="exact"/>
              <w:ind w:firstLine="0" w:firstLineChars="0"/>
              <w:jc w:val="left"/>
              <w:rPr>
                <w:rFonts w:hint="eastAsia" w:ascii="仿宋_GB2312" w:hAnsi="仿宋_GB2312" w:eastAsia="仿宋_GB2312" w:cs="仿宋_GB2312"/>
                <w:kern w:val="0"/>
                <w:sz w:val="21"/>
                <w:szCs w:val="21"/>
                <w:lang w:val="en-US" w:eastAsia="zh-CN" w:bidi="ar-SA"/>
              </w:rPr>
            </w:pPr>
            <w:r>
              <w:rPr>
                <w:rFonts w:hint="eastAsia" w:cs="仿宋_GB2312"/>
                <w:kern w:val="0"/>
                <w:sz w:val="21"/>
                <w:szCs w:val="21"/>
                <w:lang w:val="en-US" w:eastAsia="zh-CN"/>
              </w:rPr>
              <w:t>适用</w:t>
            </w:r>
            <w:r>
              <w:rPr>
                <w:rFonts w:hint="eastAsia" w:ascii="仿宋_GB2312" w:hAnsi="仿宋_GB2312" w:eastAsia="仿宋_GB2312" w:cs="仿宋_GB2312"/>
                <w:kern w:val="0"/>
                <w:sz w:val="21"/>
                <w:szCs w:val="21"/>
              </w:rPr>
              <w:t>于</w:t>
            </w:r>
            <w:r>
              <w:rPr>
                <w:rFonts w:hint="eastAsia" w:cs="仿宋_GB2312"/>
                <w:kern w:val="0"/>
                <w:sz w:val="21"/>
                <w:szCs w:val="21"/>
                <w:lang w:val="en-US" w:eastAsia="zh-CN"/>
              </w:rPr>
              <w:t>通信设备的可靠性测试和验收。其他类型的通信设备可参照使用。</w:t>
            </w:r>
          </w:p>
        </w:tc>
        <w:tc>
          <w:tcPr>
            <w:tcW w:w="948" w:type="pct"/>
            <w:noWrap w:val="0"/>
            <w:vAlign w:val="center"/>
          </w:tcPr>
          <w:p>
            <w:pPr>
              <w:widowControl/>
              <w:spacing w:line="320" w:lineRule="exact"/>
              <w:ind w:firstLine="0" w:firstLineChars="0"/>
              <w:jc w:val="left"/>
              <w:rPr>
                <w:rFonts w:hint="eastAsia" w:ascii="仿宋_GB2312" w:hAnsi="仿宋_GB2312" w:eastAsia="仿宋_GB2312" w:cs="仿宋_GB2312"/>
                <w:kern w:val="0"/>
                <w:sz w:val="21"/>
                <w:szCs w:val="21"/>
                <w:lang w:val="en-US" w:eastAsia="zh-CN" w:bidi="ar-SA"/>
              </w:rPr>
            </w:pPr>
            <w:r>
              <w:rPr>
                <w:rFonts w:hint="eastAsia" w:ascii="仿宋_GB2312" w:hAnsi="仿宋_GB2312" w:eastAsia="仿宋_GB2312" w:cs="仿宋_GB2312"/>
                <w:kern w:val="0"/>
                <w:sz w:val="21"/>
                <w:szCs w:val="21"/>
              </w:rPr>
              <w:t>编号由国家标准的代号(GB/T)+国家标准发布的顺序号(</w:t>
            </w:r>
            <w:r>
              <w:rPr>
                <w:rFonts w:hint="eastAsia" w:cs="仿宋_GB2312"/>
                <w:kern w:val="0"/>
                <w:sz w:val="21"/>
                <w:szCs w:val="21"/>
                <w:lang w:val="en-US" w:eastAsia="zh-CN"/>
              </w:rPr>
              <w:t>13426</w:t>
            </w:r>
            <w:r>
              <w:rPr>
                <w:rFonts w:hint="eastAsia" w:ascii="仿宋_GB2312" w:hAnsi="仿宋_GB2312" w:eastAsia="仿宋_GB2312" w:cs="仿宋_GB2312"/>
                <w:kern w:val="0"/>
                <w:sz w:val="21"/>
                <w:szCs w:val="21"/>
              </w:rPr>
              <w:t>)+国家标准发布的年号(</w:t>
            </w:r>
            <w:r>
              <w:rPr>
                <w:rFonts w:hint="eastAsia" w:cs="仿宋_GB2312"/>
                <w:kern w:val="0"/>
                <w:sz w:val="21"/>
                <w:szCs w:val="21"/>
                <w:lang w:val="en-US" w:eastAsia="zh-CN"/>
              </w:rPr>
              <w:t>1992</w:t>
            </w:r>
            <w:r>
              <w:rPr>
                <w:rFonts w:hint="eastAsia" w:ascii="仿宋_GB2312" w:hAnsi="仿宋_GB2312" w:eastAsia="仿宋_GB2312" w:cs="仿宋_GB2312"/>
                <w:kern w:val="0"/>
                <w:sz w:val="21"/>
                <w:szCs w:val="21"/>
              </w:rPr>
              <w:t>)构成。</w:t>
            </w:r>
          </w:p>
        </w:tc>
        <w:tc>
          <w:tcPr>
            <w:tcW w:w="417" w:type="pct"/>
            <w:noWrap/>
            <w:vAlign w:val="center"/>
          </w:tcPr>
          <w:p>
            <w:pPr>
              <w:widowControl/>
              <w:spacing w:line="320" w:lineRule="exact"/>
              <w:ind w:firstLine="0" w:firstLineChars="0"/>
              <w:jc w:val="left"/>
              <w:rPr>
                <w:rFonts w:hint="eastAsia" w:ascii="仿宋_GB2312" w:hAnsi="仿宋_GB2312" w:eastAsia="仿宋_GB2312" w:cs="仿宋_GB2312"/>
                <w:kern w:val="0"/>
                <w:sz w:val="21"/>
                <w:szCs w:val="21"/>
              </w:rPr>
            </w:pPr>
          </w:p>
        </w:tc>
      </w:tr>
    </w:tbl>
    <w:p>
      <w:pPr>
        <w:rPr>
          <w:rFonts w:hint="eastAsia"/>
          <w:lang w:val="en-US" w:eastAsia="zh-CN"/>
        </w:rPr>
      </w:pPr>
    </w:p>
    <w:p>
      <w:pPr>
        <w:pStyle w:val="2"/>
        <w:numPr>
          <w:ilvl w:val="0"/>
          <w:numId w:val="3"/>
        </w:numPr>
        <w:ind w:firstLine="640"/>
        <w:rPr>
          <w:rFonts w:hint="default"/>
          <w:lang w:val="en-US" w:eastAsia="zh-CN"/>
        </w:rPr>
      </w:pPr>
      <w:r>
        <w:rPr>
          <w:rFonts w:hint="eastAsia"/>
          <w:lang w:val="en-US" w:eastAsia="zh-CN"/>
        </w:rPr>
        <w:t>技术指标</w:t>
      </w:r>
    </w:p>
    <w:tbl>
      <w:tblPr>
        <w:tblStyle w:val="15"/>
        <w:tblW w:w="500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1"/>
        <w:gridCol w:w="613"/>
        <w:gridCol w:w="674"/>
        <w:gridCol w:w="643"/>
        <w:gridCol w:w="642"/>
        <w:gridCol w:w="1583"/>
        <w:gridCol w:w="2800"/>
        <w:gridCol w:w="804"/>
        <w:gridCol w:w="7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80" w:hRule="atLeast"/>
          <w:tblHeader/>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序</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b/>
                <w:bCs/>
                <w:kern w:val="0"/>
                <w:sz w:val="21"/>
                <w:szCs w:val="21"/>
              </w:rPr>
              <w:t>号</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b/>
                <w:bCs/>
                <w:kern w:val="0"/>
                <w:sz w:val="21"/>
                <w:szCs w:val="21"/>
              </w:rPr>
              <w:t>分类</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一级</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b/>
                <w:bCs/>
                <w:kern w:val="0"/>
                <w:sz w:val="21"/>
                <w:szCs w:val="21"/>
              </w:rPr>
              <w:t>指标</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二级</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b/>
                <w:bCs/>
                <w:kern w:val="0"/>
                <w:sz w:val="21"/>
                <w:szCs w:val="21"/>
              </w:rPr>
              <w:t>指标</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三级及</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以下</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指标</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是否作为</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强制要求及</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sz w:val="21"/>
                <w:szCs w:val="21"/>
              </w:rPr>
            </w:pPr>
            <w:r>
              <w:rPr>
                <w:rFonts w:hint="eastAsia" w:ascii="仿宋_GB2312" w:hAnsi="仿宋_GB2312" w:eastAsia="仿宋_GB2312" w:cs="仿宋_GB2312"/>
                <w:b/>
                <w:bCs/>
                <w:kern w:val="0"/>
                <w:sz w:val="21"/>
                <w:szCs w:val="21"/>
              </w:rPr>
              <w:t>评分因素等</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b/>
                <w:bCs/>
                <w:kern w:val="0"/>
                <w:sz w:val="21"/>
                <w:szCs w:val="21"/>
              </w:rPr>
              <w:t>指标要求</w:t>
            </w:r>
          </w:p>
        </w:tc>
        <w:tc>
          <w:tcPr>
            <w:tcW w:w="44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指标使用</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b/>
                <w:bCs/>
                <w:kern w:val="0"/>
                <w:sz w:val="21"/>
                <w:szCs w:val="21"/>
              </w:rPr>
              <w:t>说明</w:t>
            </w:r>
          </w:p>
        </w:tc>
        <w:tc>
          <w:tcPr>
            <w:tcW w:w="43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b/>
                <w:bCs/>
                <w:kern w:val="0"/>
                <w:sz w:val="21"/>
                <w:szCs w:val="21"/>
              </w:rPr>
              <w:t>证明方式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ascii="仿宋_GB2312" w:hAnsi="仿宋_GB2312" w:eastAsia="仿宋_GB2312"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ascii="仿宋_GB2312" w:hAnsi="仿宋_GB2312" w:eastAsia="仿宋_GB2312" w:cs="仿宋_GB2312"/>
                <w:kern w:val="0"/>
                <w:sz w:val="21"/>
                <w:szCs w:val="21"/>
                <w:lang w:val="en-US" w:eastAsia="zh-CN"/>
              </w:rPr>
            </w:pPr>
            <w:r>
              <w:rPr>
                <w:rFonts w:hint="eastAsia" w:cs="仿宋_GB2312"/>
                <w:kern w:val="0"/>
                <w:sz w:val="21"/>
                <w:szCs w:val="21"/>
                <w:lang w:val="en-US" w:eastAsia="zh-CN"/>
              </w:rPr>
              <w:t>总体要求</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ascii="仿宋_GB2312" w:hAnsi="仿宋_GB2312" w:eastAsia="仿宋_GB2312" w:cs="仿宋_GB2312"/>
                <w:kern w:val="0"/>
                <w:sz w:val="21"/>
                <w:szCs w:val="21"/>
                <w:lang w:val="en-US" w:eastAsia="zh-CN"/>
              </w:rPr>
            </w:pPr>
            <w:r>
              <w:rPr>
                <w:rFonts w:hint="eastAsia" w:ascii="宋体" w:hAnsi="宋体" w:eastAsia="宋体" w:cs="宋体"/>
                <w:bCs w:val="0"/>
                <w:kern w:val="0"/>
                <w:sz w:val="21"/>
                <w:szCs w:val="21"/>
                <w:lang w:val="en-US" w:eastAsia="zh-CN" w:bidi="ar-SA"/>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sz w:val="21"/>
                <w:szCs w:val="21"/>
              </w:rPr>
            </w:pPr>
            <w:r>
              <w:rPr>
                <w:rFonts w:hint="eastAsia" w:ascii="仿宋_GB2312" w:hAnsi="仿宋_GB2312" w:eastAsia="仿宋_GB2312" w:cs="仿宋_GB2312"/>
                <w:kern w:val="0"/>
                <w:sz w:val="21"/>
                <w:szCs w:val="21"/>
              </w:rPr>
              <w:t>加分值权重 ☐</w:t>
            </w:r>
          </w:p>
        </w:tc>
        <w:tc>
          <w:tcPr>
            <w:tcW w:w="1542" w:type="pct"/>
            <w:noWrap w:val="0"/>
            <w:vAlign w:val="center"/>
          </w:tcPr>
          <w:p>
            <w:pPr>
              <w:widowControl/>
              <w:spacing w:line="320" w:lineRule="exact"/>
              <w:ind w:firstLine="0" w:firstLineChars="0"/>
              <w:jc w:val="both"/>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1.本项目为“交钥匙”</w:t>
            </w:r>
            <w:r>
              <w:rPr>
                <w:rFonts w:hint="eastAsia" w:cs="仿宋_GB2312"/>
                <w:kern w:val="0"/>
                <w:sz w:val="21"/>
                <w:szCs w:val="21"/>
                <w:lang w:val="en-US" w:eastAsia="zh-CN"/>
              </w:rPr>
              <w:t>项目</w:t>
            </w:r>
            <w:r>
              <w:rPr>
                <w:rFonts w:hint="eastAsia" w:ascii="仿宋_GB2312" w:hAnsi="仿宋_GB2312" w:eastAsia="仿宋_GB2312" w:cs="仿宋_GB2312"/>
                <w:kern w:val="0"/>
                <w:sz w:val="21"/>
                <w:szCs w:val="21"/>
                <w:lang w:val="en-US" w:eastAsia="zh-CN"/>
              </w:rPr>
              <w:t>，所有建设内容包含并不限于施工安装过程中必要的人工、辅材和硬件耗材等。</w:t>
            </w:r>
          </w:p>
          <w:p>
            <w:pPr>
              <w:widowControl/>
              <w:spacing w:line="320" w:lineRule="exact"/>
              <w:ind w:firstLine="0" w:firstLineChars="0"/>
              <w:jc w:val="both"/>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2.本项目5G信号覆盖范围约为4000亩地，供应商应配合实际需要做好网络优化（包括但不限于：天线扇面调整、增加基站设备数量、频段优化等），确保基地信号覆盖。（长*宽=2050m*1450m）</w:t>
            </w:r>
          </w:p>
          <w:p>
            <w:pPr>
              <w:widowControl/>
              <w:spacing w:line="320" w:lineRule="exact"/>
              <w:ind w:firstLine="0" w:firstLineChars="0"/>
              <w:jc w:val="both"/>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3.5G核心网设备需提供工信部电信设备进网试用批文及工信部授权测试厂家的测试报告。</w:t>
            </w:r>
          </w:p>
        </w:tc>
        <w:tc>
          <w:tcPr>
            <w:tcW w:w="44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default" w:ascii="仿宋_GB2312" w:hAnsi="仿宋_GB2312" w:eastAsia="仿宋_GB2312" w:cs="仿宋_GB2312"/>
                <w:kern w:val="0"/>
                <w:sz w:val="21"/>
                <w:szCs w:val="21"/>
                <w:lang w:val="en-US"/>
              </w:rPr>
            </w:pPr>
            <w:r>
              <w:rPr>
                <w:rFonts w:hint="eastAsia" w:cs="仿宋_GB2312"/>
                <w:kern w:val="0"/>
                <w:sz w:val="21"/>
                <w:szCs w:val="21"/>
                <w:lang w:val="en-US" w:eastAsia="zh-CN"/>
              </w:rPr>
              <w:t>必须满足条件</w:t>
            </w:r>
          </w:p>
        </w:tc>
        <w:tc>
          <w:tcPr>
            <w:tcW w:w="432"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查看厂商产品自声明文件或者产品说明书（规格书）或者公开发布的宣传彩页。</w:t>
            </w:r>
          </w:p>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292"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ascii="仿宋_GB2312" w:hAnsi="仿宋_GB2312" w:eastAsia="仿宋_GB2312" w:cs="仿宋_GB2312"/>
                <w:kern w:val="0"/>
                <w:sz w:val="21"/>
                <w:szCs w:val="21"/>
                <w:lang w:val="en-US" w:eastAsia="zh-CN"/>
              </w:rPr>
            </w:pPr>
            <w:r>
              <w:rPr>
                <w:rFonts w:hint="eastAsia" w:cs="仿宋_GB2312"/>
                <w:kern w:val="0"/>
                <w:sz w:val="21"/>
                <w:szCs w:val="21"/>
                <w:lang w:val="en-US" w:eastAsia="zh-CN"/>
              </w:rPr>
              <w:t>2</w:t>
            </w:r>
          </w:p>
        </w:tc>
        <w:tc>
          <w:tcPr>
            <w:tcW w:w="337"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5G核心网</w:t>
            </w:r>
          </w:p>
        </w:tc>
        <w:tc>
          <w:tcPr>
            <w:tcW w:w="354"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性能要求</w:t>
            </w:r>
          </w:p>
        </w:tc>
        <w:tc>
          <w:tcPr>
            <w:tcW w:w="35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宋体" w:hAnsi="宋体" w:eastAsia="宋体" w:cs="宋体"/>
                <w:bCs w:val="0"/>
                <w:kern w:val="0"/>
                <w:sz w:val="21"/>
                <w:szCs w:val="21"/>
                <w:lang w:val="en-US" w:eastAsia="zh-CN" w:bidi="ar-SA"/>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评分因素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加分值权重 ☑</w:t>
            </w:r>
          </w:p>
        </w:tc>
        <w:tc>
          <w:tcPr>
            <w:tcW w:w="1542" w:type="pct"/>
            <w:noWrap w:val="0"/>
            <w:vAlign w:val="center"/>
          </w:tcPr>
          <w:p>
            <w:pPr>
              <w:widowControl/>
              <w:spacing w:line="320" w:lineRule="exact"/>
              <w:ind w:firstLine="0" w:firstLineChars="0"/>
              <w:jc w:val="both"/>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w:t>
            </w:r>
            <w:r>
              <w:rPr>
                <w:rFonts w:hint="eastAsia" w:cs="仿宋_GB2312"/>
                <w:kern w:val="0"/>
                <w:sz w:val="21"/>
                <w:szCs w:val="21"/>
                <w:lang w:val="en-US" w:eastAsia="zh-CN"/>
              </w:rPr>
              <w:t>1</w:t>
            </w:r>
            <w:r>
              <w:rPr>
                <w:rFonts w:hint="eastAsia" w:ascii="仿宋_GB2312" w:hAnsi="仿宋_GB2312" w:eastAsia="仿宋_GB2312" w:cs="仿宋_GB2312"/>
                <w:kern w:val="0"/>
                <w:sz w:val="21"/>
                <w:szCs w:val="21"/>
                <w:lang w:val="en-US" w:eastAsia="zh-CN"/>
              </w:rPr>
              <w:t>.系统用户数≥10000；UPF数据吞吐量≥8Gbps；PCF会话数≥200；消息响应时间≤5ms；</w:t>
            </w:r>
          </w:p>
        </w:tc>
        <w:tc>
          <w:tcPr>
            <w:tcW w:w="443" w:type="pct"/>
            <w:vMerge w:val="restart"/>
            <w:noWrap w:val="0"/>
            <w:vAlign w:val="center"/>
          </w:tcPr>
          <w:p>
            <w:pPr>
              <w:widowControl/>
              <w:spacing w:line="320" w:lineRule="exact"/>
              <w:ind w:firstLine="0" w:firstLineChars="0"/>
              <w:jc w:val="left"/>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根据指标要求进行评审，支持的项越多，功能越强。</w:t>
            </w: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292" w:type="pct"/>
            <w:vMerge w:val="continue"/>
            <w:noWrap w:val="0"/>
            <w:vAlign w:val="center"/>
          </w:tcPr>
          <w:p>
            <w:pPr>
              <w:widowControl/>
              <w:spacing w:line="320" w:lineRule="exact"/>
              <w:ind w:firstLine="0" w:firstLineChars="0"/>
              <w:jc w:val="both"/>
            </w:pPr>
          </w:p>
        </w:tc>
        <w:tc>
          <w:tcPr>
            <w:tcW w:w="337" w:type="pct"/>
            <w:vMerge w:val="continue"/>
            <w:noWrap w:val="0"/>
            <w:vAlign w:val="center"/>
          </w:tcPr>
          <w:p>
            <w:pPr>
              <w:widowControl/>
              <w:spacing w:line="320" w:lineRule="exact"/>
              <w:ind w:firstLine="0" w:firstLineChars="0"/>
              <w:jc w:val="both"/>
            </w:pPr>
          </w:p>
        </w:tc>
        <w:tc>
          <w:tcPr>
            <w:tcW w:w="371" w:type="pct"/>
            <w:vMerge w:val="continue"/>
            <w:noWrap w:val="0"/>
            <w:vAlign w:val="center"/>
          </w:tcPr>
          <w:p>
            <w:pPr>
              <w:widowControl/>
              <w:spacing w:line="320" w:lineRule="exact"/>
              <w:ind w:firstLine="0" w:firstLineChars="0"/>
              <w:jc w:val="both"/>
            </w:pPr>
          </w:p>
        </w:tc>
        <w:tc>
          <w:tcPr>
            <w:tcW w:w="354" w:type="pct"/>
            <w:vMerge w:val="continue"/>
            <w:noWrap w:val="0"/>
            <w:vAlign w:val="center"/>
          </w:tcPr>
          <w:p>
            <w:pPr>
              <w:widowControl/>
              <w:spacing w:line="320" w:lineRule="exact"/>
              <w:ind w:firstLine="0" w:firstLineChars="0"/>
              <w:jc w:val="both"/>
            </w:pPr>
          </w:p>
        </w:tc>
        <w:tc>
          <w:tcPr>
            <w:tcW w:w="353" w:type="pct"/>
            <w:vMerge w:val="continue"/>
            <w:noWrap w:val="0"/>
            <w:vAlign w:val="center"/>
          </w:tcPr>
          <w:p>
            <w:pPr>
              <w:widowControl/>
              <w:spacing w:line="320" w:lineRule="exact"/>
              <w:ind w:firstLine="0" w:firstLineChars="0"/>
              <w:jc w:val="both"/>
            </w:pP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spacing w:line="320" w:lineRule="exact"/>
              <w:ind w:firstLine="0" w:firstLineChars="0"/>
              <w:jc w:val="both"/>
              <w:rPr>
                <w:rFonts w:hint="eastAsia" w:eastAsia="仿宋_GB2312"/>
                <w:lang w:eastAsia="zh-CN"/>
              </w:rPr>
            </w:pPr>
            <w:r>
              <w:rPr>
                <w:rFonts w:hint="eastAsia" w:ascii="仿宋_GB2312" w:hAnsi="仿宋_GB2312" w:eastAsia="仿宋_GB2312" w:cs="仿宋_GB2312"/>
                <w:kern w:val="0"/>
                <w:sz w:val="21"/>
                <w:szCs w:val="21"/>
              </w:rPr>
              <w:t xml:space="preserve">加分值权重 </w:t>
            </w:r>
            <w:r>
              <w:rPr>
                <w:rFonts w:hint="eastAsia" w:cs="仿宋_GB2312"/>
                <w:kern w:val="0"/>
                <w:sz w:val="21"/>
                <w:szCs w:val="21"/>
                <w:lang w:eastAsia="zh-CN"/>
              </w:rPr>
              <w:t>□</w:t>
            </w:r>
          </w:p>
        </w:tc>
        <w:tc>
          <w:tcPr>
            <w:tcW w:w="1542" w:type="pct"/>
            <w:noWrap w:val="0"/>
            <w:vAlign w:val="center"/>
          </w:tcPr>
          <w:p>
            <w:pPr>
              <w:widowControl/>
              <w:spacing w:line="320" w:lineRule="exact"/>
              <w:ind w:firstLine="0" w:firstLineChars="0"/>
              <w:jc w:val="both"/>
              <w:rPr>
                <w:rFonts w:hint="eastAsia" w:ascii="仿宋_GB2312" w:hAnsi="仿宋_GB2312" w:eastAsia="仿宋_GB2312" w:cs="仿宋_GB2312"/>
                <w:kern w:val="0"/>
                <w:sz w:val="21"/>
                <w:szCs w:val="21"/>
                <w:lang w:val="en-US" w:eastAsia="zh-CN"/>
              </w:rPr>
            </w:pPr>
            <w:r>
              <w:rPr>
                <w:rFonts w:hint="eastAsia" w:cs="仿宋_GB2312"/>
                <w:kern w:val="0"/>
                <w:sz w:val="21"/>
                <w:szCs w:val="21"/>
                <w:lang w:val="en-US" w:eastAsia="zh-CN"/>
              </w:rPr>
              <w:t>2</w:t>
            </w:r>
            <w:r>
              <w:rPr>
                <w:rFonts w:hint="eastAsia" w:ascii="仿宋_GB2312" w:hAnsi="仿宋_GB2312" w:eastAsia="仿宋_GB2312" w:cs="仿宋_GB2312"/>
                <w:kern w:val="0"/>
                <w:sz w:val="21"/>
                <w:szCs w:val="21"/>
                <w:lang w:val="en-US" w:eastAsia="zh-CN"/>
              </w:rPr>
              <w:t>.支持接入的基站数不少于50个；安全增强接口处理能力不少于50次请求/秒；网络管理接口处理能力不少于200次请求/秒；</w:t>
            </w:r>
          </w:p>
          <w:p>
            <w:pPr>
              <w:widowControl/>
              <w:spacing w:line="320" w:lineRule="exact"/>
              <w:ind w:firstLine="0" w:firstLineChars="0"/>
              <w:jc w:val="both"/>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3.高可用度HA≥99.999%。</w:t>
            </w:r>
          </w:p>
        </w:tc>
        <w:tc>
          <w:tcPr>
            <w:tcW w:w="443" w:type="pct"/>
            <w:vMerge w:val="continue"/>
            <w:noWrap w:val="0"/>
            <w:vAlign w:val="center"/>
          </w:tcPr>
          <w:p>
            <w:pPr>
              <w:widowControl/>
              <w:spacing w:line="320" w:lineRule="exact"/>
              <w:ind w:firstLine="0" w:firstLineChars="0"/>
              <w:jc w:val="both"/>
              <w:rPr>
                <w:rFonts w:hint="eastAsia" w:ascii="仿宋_GB2312" w:hAnsi="仿宋_GB2312" w:eastAsia="仿宋_GB2312" w:cs="仿宋_GB2312"/>
                <w:kern w:val="0"/>
                <w:sz w:val="21"/>
                <w:szCs w:val="21"/>
                <w:lang w:val="en-US" w:eastAsia="zh-CN"/>
              </w:rPr>
            </w:pPr>
          </w:p>
        </w:tc>
        <w:tc>
          <w:tcPr>
            <w:tcW w:w="432" w:type="pct"/>
            <w:vMerge w:val="continue"/>
            <w:noWrap w:val="0"/>
            <w:vAlign w:val="center"/>
          </w:tcPr>
          <w:p>
            <w:pPr>
              <w:widowControl/>
              <w:spacing w:line="320" w:lineRule="exact"/>
              <w:ind w:firstLine="0" w:firstLineChars="0"/>
              <w:jc w:val="both"/>
              <w:rPr>
                <w:rFonts w:hint="eastAsia" w:ascii="仿宋_GB2312" w:hAnsi="仿宋_GB2312" w:eastAsia="仿宋_GB2312" w:cs="仿宋_GB2312"/>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0" w:hRule="atLeast"/>
          <w:jc w:val="center"/>
        </w:trPr>
        <w:tc>
          <w:tcPr>
            <w:tcW w:w="29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AMF网元功能</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宋体" w:hAnsi="宋体" w:eastAsia="宋体" w:cs="宋体"/>
                <w:bCs w:val="0"/>
                <w:kern w:val="0"/>
                <w:sz w:val="21"/>
                <w:szCs w:val="21"/>
                <w:lang w:val="en-US" w:eastAsia="zh-CN" w:bidi="ar-SA"/>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 xml:space="preserve">加分值权重 </w:t>
            </w:r>
            <w:r>
              <w:rPr>
                <w:rFonts w:hint="eastAsia" w:cs="仿宋_GB2312"/>
                <w:kern w:val="0"/>
                <w:sz w:val="21"/>
                <w:szCs w:val="21"/>
                <w:lang w:eastAsia="zh-CN"/>
              </w:rPr>
              <w:t>□</w:t>
            </w:r>
          </w:p>
        </w:tc>
        <w:tc>
          <w:tcPr>
            <w:tcW w:w="1542" w:type="pct"/>
            <w:noWrap w:val="0"/>
            <w:vAlign w:val="center"/>
          </w:tcPr>
          <w:p>
            <w:pPr>
              <w:widowControl/>
              <w:spacing w:line="320" w:lineRule="exact"/>
              <w:ind w:firstLine="0" w:firstLineChars="0"/>
              <w:jc w:val="both"/>
              <w:rPr>
                <w:rFonts w:hint="eastAsia" w:ascii="仿宋_GB2312" w:hAnsi="仿宋_GB2312" w:eastAsia="仿宋_GB2312" w:cs="仿宋_GB2312"/>
                <w:kern w:val="0"/>
                <w:sz w:val="21"/>
                <w:szCs w:val="21"/>
                <w:lang w:val="en-US" w:eastAsia="zh-CN"/>
              </w:rPr>
            </w:pPr>
            <w:r>
              <w:rPr>
                <w:rFonts w:hint="eastAsia" w:ascii="仿宋_GB2312" w:hAnsi="仿宋_GB2312" w:eastAsia="仿宋_GB2312" w:cs="仿宋_GB2312"/>
                <w:kern w:val="0"/>
                <w:sz w:val="21"/>
                <w:szCs w:val="21"/>
                <w:lang w:val="en-US" w:eastAsia="zh-CN"/>
              </w:rPr>
              <w:t>1.接入和移动性管理功能：提供5G核心网AMF网元功能，小型化本地部署。支持 N2 接口；NAS 加密和完整性保护； 用户注册管理、连接管理、可达性管理、移动性管理； UE 和 SMF 之间的 SM 消息提供传输。</w:t>
            </w:r>
          </w:p>
        </w:tc>
        <w:tc>
          <w:tcPr>
            <w:tcW w:w="443" w:type="pct"/>
            <w:vMerge w:val="continue"/>
            <w:noWrap w:val="0"/>
            <w:vAlign w:val="center"/>
          </w:tcPr>
          <w:p>
            <w:pPr>
              <w:widowControl/>
              <w:spacing w:line="320" w:lineRule="exact"/>
              <w:ind w:firstLine="0" w:firstLineChars="0"/>
              <w:jc w:val="center"/>
              <w:rPr>
                <w:rFonts w:hint="eastAsia" w:ascii="仿宋_GB2312" w:hAnsi="仿宋_GB2312" w:eastAsia="仿宋_GB2312"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0" w:hRule="atLeast"/>
          <w:jc w:val="center"/>
        </w:trPr>
        <w:tc>
          <w:tcPr>
            <w:tcW w:w="29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AUSF网元功能</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宋体" w:hAnsi="宋体" w:eastAsia="宋体" w:cs="宋体"/>
                <w:bCs w:val="0"/>
                <w:kern w:val="0"/>
                <w:sz w:val="21"/>
                <w:szCs w:val="21"/>
                <w:lang w:val="en-US" w:eastAsia="zh-CN" w:bidi="ar-SA"/>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 xml:space="preserve">加分值权重 </w:t>
            </w:r>
            <w:r>
              <w:rPr>
                <w:rFonts w:hint="eastAsia" w:cs="仿宋_GB2312"/>
                <w:kern w:val="0"/>
                <w:sz w:val="21"/>
                <w:szCs w:val="21"/>
                <w:lang w:eastAsia="zh-CN"/>
              </w:rPr>
              <w:t>□</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1.身份验证服务器功能：支持 3GPP 接入和不受信任的非 3GPP 接入的认证。</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29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tc>
        <w:tc>
          <w:tcPr>
            <w:tcW w:w="337"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tc>
        <w:tc>
          <w:tcPr>
            <w:tcW w:w="354"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UDM网元功能</w:t>
            </w:r>
          </w:p>
        </w:tc>
        <w:tc>
          <w:tcPr>
            <w:tcW w:w="35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宋体" w:hAnsi="宋体" w:eastAsia="宋体" w:cs="宋体"/>
                <w:bCs w:val="0"/>
                <w:kern w:val="0"/>
                <w:sz w:val="21"/>
                <w:szCs w:val="21"/>
                <w:lang w:val="en-US" w:eastAsia="zh-CN" w:bidi="ar-SA"/>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评分因素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 xml:space="preserve">加分值权重 </w:t>
            </w:r>
            <w:r>
              <w:rPr>
                <w:rFonts w:hint="eastAsia" w:cs="仿宋_GB2312"/>
                <w:kern w:val="0"/>
                <w:sz w:val="21"/>
                <w:szCs w:val="21"/>
                <w:lang w:eastAsia="zh-CN"/>
              </w:rPr>
              <w:t>☑</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▲1.支持5G控制面基于国家加密算法安全增强加密；在满足3GPP标准的前提下，支持5G接入认证增强和国产加密算法替换，实现5G接入认证国密加密认证。</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55" w:hRule="atLeast"/>
          <w:jc w:val="center"/>
        </w:trPr>
        <w:tc>
          <w:tcPr>
            <w:tcW w:w="29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pPr>
          </w:p>
        </w:tc>
        <w:tc>
          <w:tcPr>
            <w:tcW w:w="337"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pP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pPr>
          </w:p>
        </w:tc>
        <w:tc>
          <w:tcPr>
            <w:tcW w:w="354"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pPr>
          </w:p>
        </w:tc>
        <w:tc>
          <w:tcPr>
            <w:tcW w:w="35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pP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加分值权重 </w:t>
            </w:r>
            <w:r>
              <w:rPr>
                <w:rFonts w:hint="eastAsia" w:cs="仿宋_GB2312"/>
                <w:kern w:val="0"/>
                <w:sz w:val="21"/>
                <w:szCs w:val="21"/>
                <w:lang w:eastAsia="zh-CN"/>
              </w:rPr>
              <w:t>□</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ascii="仿宋_GB2312" w:hAnsi="仿宋_GB2312" w:eastAsia="仿宋_GB2312" w:cs="仿宋_GB2312"/>
                <w:kern w:val="0"/>
                <w:sz w:val="21"/>
                <w:szCs w:val="21"/>
              </w:rPr>
            </w:pPr>
            <w:r>
              <w:rPr>
                <w:rFonts w:hint="eastAsia" w:cs="仿宋_GB2312"/>
                <w:kern w:val="0"/>
                <w:sz w:val="21"/>
                <w:szCs w:val="21"/>
                <w:lang w:val="en-US" w:eastAsia="zh-CN"/>
              </w:rPr>
              <w:t>2.统一数据管理功能：生成3GPP AKA 身份验证凭据；用户识别处理；支持隐私保护的用户标识符（SUCI） 的隐藏；用户管理；</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29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SMF网元功能</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宋体" w:hAnsi="宋体" w:eastAsia="宋体" w:cs="宋体"/>
                <w:bCs w:val="0"/>
                <w:kern w:val="0"/>
                <w:sz w:val="21"/>
                <w:szCs w:val="21"/>
                <w:lang w:val="en-US" w:eastAsia="zh-CN" w:bidi="ar-SA"/>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 xml:space="preserve">加分值权重 </w:t>
            </w:r>
            <w:r>
              <w:rPr>
                <w:rFonts w:hint="eastAsia" w:cs="仿宋_GB2312"/>
                <w:kern w:val="0"/>
                <w:sz w:val="21"/>
                <w:szCs w:val="21"/>
                <w:lang w:eastAsia="zh-CN"/>
              </w:rPr>
              <w:t>□</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1.会话管理功能：支持会话管理；UE IP 地址分配和管理；DHCPv4 功能；选择和控制 UP 功能，用于以太网 PDU 会话；配置 UPF 的流量控制，将流量路由到正确的目的地；终止接口到策略控制功能。</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180" w:hRule="atLeast"/>
          <w:jc w:val="center"/>
        </w:trPr>
        <w:tc>
          <w:tcPr>
            <w:tcW w:w="29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UPF网元功能</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宋体" w:hAnsi="宋体" w:eastAsia="宋体" w:cs="宋体"/>
                <w:bCs w:val="0"/>
                <w:kern w:val="0"/>
                <w:sz w:val="21"/>
                <w:szCs w:val="21"/>
                <w:lang w:val="en-US" w:eastAsia="zh-CN" w:bidi="ar-SA"/>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kern w:val="0"/>
                <w:sz w:val="21"/>
                <w:szCs w:val="21"/>
              </w:rPr>
              <w:t xml:space="preserve">加分值权重 </w:t>
            </w:r>
            <w:r>
              <w:rPr>
                <w:rFonts w:hint="eastAsia" w:cs="仿宋_GB2312"/>
                <w:kern w:val="0"/>
                <w:sz w:val="21"/>
                <w:szCs w:val="21"/>
                <w:lang w:eastAsia="zh-CN"/>
              </w:rPr>
              <w:t>□</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1.用户平面功能：当作外部 PDU 与数据网络互连的会话点，支持分组路由和转发；</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2.支持数据包检查；用户平面部分策略规则实施；用户平面的 QoS 处理。</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0" w:hRule="atLeast"/>
          <w:jc w:val="center"/>
        </w:trPr>
        <w:tc>
          <w:tcPr>
            <w:tcW w:w="29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cs="仿宋_GB2312"/>
                <w:kern w:val="0"/>
                <w:sz w:val="21"/>
                <w:szCs w:val="21"/>
                <w:lang w:val="en-US" w:eastAsia="zh-CN"/>
              </w:rPr>
              <w:t>功能要求</w:t>
            </w: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PCF网元功能</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加分值权重 </w:t>
            </w:r>
            <w:r>
              <w:rPr>
                <w:rFonts w:hint="eastAsia" w:cs="仿宋_GB2312"/>
                <w:kern w:val="0"/>
                <w:sz w:val="21"/>
                <w:szCs w:val="21"/>
                <w:lang w:eastAsia="zh-CN"/>
              </w:rPr>
              <w:t>□</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1.策略控制功能：支持统一的策略框架来管理网络行为，为控制平面功能提供策略规则以强制执行它们，访问与统一数据存储库（UDR）中的策略决策相关的用户信息。</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sz w:val="21"/>
                <w:szCs w:val="21"/>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cs="仿宋_GB2312"/>
                <w:kern w:val="0"/>
                <w:sz w:val="21"/>
                <w:szCs w:val="21"/>
                <w:lang w:val="en-US" w:eastAsia="zh-CN"/>
              </w:rPr>
              <w:t>功能要求</w:t>
            </w: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容灾备份核心网</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★1.本项目共计提供2套5G核心网实现主备核心网实时热备，对5G核心网应用系统和数据的容灾备份，在单台服务器故障发生后相关业务能够得到及时恢复。</w:t>
            </w:r>
          </w:p>
        </w:tc>
        <w:tc>
          <w:tcPr>
            <w:tcW w:w="44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cs="仿宋_GB2312"/>
                <w:kern w:val="0"/>
                <w:sz w:val="21"/>
                <w:szCs w:val="21"/>
                <w:lang w:val="en-US" w:eastAsia="zh-CN"/>
              </w:rPr>
            </w:pPr>
            <w:r>
              <w:rPr>
                <w:rFonts w:hint="eastAsia" w:cs="仿宋_GB2312"/>
                <w:kern w:val="0"/>
                <w:sz w:val="21"/>
                <w:szCs w:val="21"/>
                <w:lang w:val="en-US" w:eastAsia="zh-CN"/>
              </w:rPr>
              <w:t>根据指标要求进行评审，必须满足，即认定符合招标要求。</w:t>
            </w: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0" w:hRule="atLeast"/>
          <w:jc w:val="center"/>
        </w:trPr>
        <w:tc>
          <w:tcPr>
            <w:tcW w:w="292"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ascii="仿宋_GB2312" w:hAnsi="仿宋_GB2312" w:eastAsia="仿宋_GB2312" w:cs="仿宋_GB2312"/>
                <w:kern w:val="0"/>
                <w:sz w:val="21"/>
                <w:szCs w:val="21"/>
                <w:lang w:val="en-US" w:eastAsia="zh-CN"/>
              </w:rPr>
            </w:pPr>
            <w:r>
              <w:rPr>
                <w:rFonts w:hint="eastAsia" w:cs="仿宋_GB2312"/>
                <w:kern w:val="0"/>
                <w:sz w:val="21"/>
                <w:szCs w:val="21"/>
                <w:lang w:val="en-US" w:eastAsia="zh-CN"/>
              </w:rPr>
              <w:t>3</w:t>
            </w:r>
          </w:p>
        </w:tc>
        <w:tc>
          <w:tcPr>
            <w:tcW w:w="337"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功能要求</w:t>
            </w:r>
          </w:p>
        </w:tc>
        <w:tc>
          <w:tcPr>
            <w:tcW w:w="371"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ascii="仿宋_GB2312" w:hAnsi="仿宋_GB2312" w:eastAsia="仿宋_GB2312" w:cs="仿宋_GB2312"/>
                <w:kern w:val="0"/>
                <w:sz w:val="21"/>
                <w:szCs w:val="21"/>
                <w:lang w:val="en-US" w:eastAsia="zh-CN"/>
              </w:rPr>
            </w:pPr>
            <w:r>
              <w:rPr>
                <w:rFonts w:hint="eastAsia" w:cs="仿宋_GB2312"/>
                <w:kern w:val="0"/>
                <w:sz w:val="21"/>
                <w:szCs w:val="21"/>
                <w:lang w:val="en-US" w:eastAsia="zh-CN"/>
              </w:rPr>
              <w:t>专网管理平台</w:t>
            </w:r>
          </w:p>
        </w:tc>
        <w:tc>
          <w:tcPr>
            <w:tcW w:w="354"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宋体" w:hAnsi="宋体" w:eastAsia="宋体" w:cs="宋体"/>
                <w:bCs w:val="0"/>
                <w:kern w:val="0"/>
                <w:sz w:val="21"/>
                <w:szCs w:val="21"/>
                <w:lang w:val="en-US" w:eastAsia="zh-CN" w:bidi="ar-SA"/>
              </w:rPr>
              <w:t>/</w:t>
            </w:r>
          </w:p>
        </w:tc>
        <w:tc>
          <w:tcPr>
            <w:tcW w:w="35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评分因素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▲1.平台支持在国产化环境对接，包括国产化数据库、 国产服务器操作系统、国产化服务器，并书面承诺后续对接工作不另收费；</w:t>
            </w:r>
          </w:p>
        </w:tc>
        <w:tc>
          <w:tcPr>
            <w:tcW w:w="44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default" w:ascii="仿宋_GB2312" w:hAnsi="仿宋_GB2312" w:eastAsia="仿宋_GB2312" w:cs="仿宋_GB2312"/>
                <w:kern w:val="0"/>
                <w:sz w:val="21"/>
                <w:szCs w:val="21"/>
                <w:lang w:val="en-US" w:eastAsia="zh-CN"/>
              </w:rPr>
            </w:pPr>
            <w:r>
              <w:rPr>
                <w:rFonts w:hint="eastAsia" w:cs="仿宋_GB2312"/>
                <w:kern w:val="0"/>
                <w:sz w:val="21"/>
                <w:szCs w:val="21"/>
                <w:lang w:val="en-US" w:eastAsia="zh-CN"/>
              </w:rPr>
              <w:t>根据指标要求进行评审，支持的项越多，专网管理平台功能越强。</w:t>
            </w:r>
          </w:p>
        </w:tc>
        <w:tc>
          <w:tcPr>
            <w:tcW w:w="432"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查看厂商产品自声明文件或者产品说明书（规格书）或者公开发布的宣传彩页。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jc w:val="center"/>
        </w:trPr>
        <w:tc>
          <w:tcPr>
            <w:tcW w:w="29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pPr>
          </w:p>
        </w:tc>
        <w:tc>
          <w:tcPr>
            <w:tcW w:w="337"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pP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pPr>
          </w:p>
        </w:tc>
        <w:tc>
          <w:tcPr>
            <w:tcW w:w="354"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pPr>
          </w:p>
        </w:tc>
        <w:tc>
          <w:tcPr>
            <w:tcW w:w="35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pP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加分值权重 </w:t>
            </w:r>
            <w:r>
              <w:rPr>
                <w:rFonts w:hint="eastAsia" w:cs="仿宋_GB2312"/>
                <w:kern w:val="0"/>
                <w:sz w:val="21"/>
                <w:szCs w:val="21"/>
                <w:lang w:eastAsia="zh-CN"/>
              </w:rPr>
              <w:t>□</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2.提供在线配置、管理、分析、监控、预警和日志审计，提供复杂组合攻击的预警能力；</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3.系统登录认证：从提交账号/密码到认证结果返回的请求响应时间小于3秒；</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4.系统首页响应：从用户发出首页请求，到首页完整展示的响应时间小于5秒；</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5.5G专网安全管控支持身份绑定、“黑白名单”及“SIM卡远程遥毁”功能；（该条功能参数可以在专网管理平台或算法服务器中实现）</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default" w:cs="仿宋_GB2312"/>
                <w:kern w:val="0"/>
                <w:sz w:val="21"/>
                <w:szCs w:val="21"/>
                <w:lang w:val="en-US" w:eastAsia="zh-CN"/>
              </w:rPr>
            </w:pPr>
            <w:r>
              <w:rPr>
                <w:rFonts w:hint="eastAsia" w:cs="仿宋_GB2312"/>
                <w:kern w:val="0"/>
                <w:sz w:val="21"/>
                <w:szCs w:val="21"/>
                <w:lang w:val="en-US" w:eastAsia="zh-CN"/>
              </w:rPr>
              <w:t>6.满足多种密码体系认证：对称密钥认证或非对称密钥认证等我国自主密码算法；</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7.通过安装定制的SIM卡，用户的终端设备可以基于指定的密码算法进行入网认证。认证通过后，用户的终端设备才能入网使用，可实时查看主认证结果；</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8.平台具备运维管理功能，可以实时监测、统计分析专网整体状态、在线用户信息、服务器资源信息、操作日志和登录日志信息等功能，方便对安全专网的运行状态进行直观的展示；</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9.系统密钥用户，针对不同的类型的用户提供不同的安全认证方式，通过认证管理模块对用户认证凭证进行管理；</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ascii="仿宋_GB2312" w:hAnsi="仿宋_GB2312" w:eastAsia="仿宋_GB2312" w:cs="仿宋_GB2312"/>
                <w:kern w:val="0"/>
                <w:sz w:val="21"/>
                <w:szCs w:val="21"/>
              </w:rPr>
            </w:pPr>
            <w:r>
              <w:rPr>
                <w:rFonts w:hint="eastAsia" w:cs="仿宋_GB2312"/>
                <w:kern w:val="0"/>
                <w:sz w:val="21"/>
                <w:szCs w:val="21"/>
                <w:lang w:val="en-US" w:eastAsia="zh-CN"/>
              </w:rPr>
              <w:t>10.为防止部分特殊人员被持续性跟踪及被定位的风险，平台可提供用户身份标识变化能力。</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4</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ascii="宋体" w:hAnsi="宋体" w:cs="宋体"/>
                <w:color w:val="000000"/>
                <w:kern w:val="0"/>
                <w:sz w:val="20"/>
                <w:szCs w:val="20"/>
                <w:lang w:bidi="ar"/>
              </w:rPr>
              <w:t>算法服务器</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宋体" w:hAnsi="宋体" w:eastAsia="宋体" w:cs="宋体"/>
                <w:bCs w:val="0"/>
                <w:kern w:val="0"/>
                <w:sz w:val="21"/>
                <w:szCs w:val="21"/>
                <w:lang w:val="en-US" w:eastAsia="zh-CN" w:bidi="ar-SA"/>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功能性能参数：</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1.主认证密码算法支持SM4或专用密码算法；</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2.用户身份标识变换支持手动切换控制、自动切换策略配置以及切换状态上报；</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3.支持终端用户SIM卡的黑白名单管理和远程销毁功能；</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4.认证向量请求响应不小于160次/秒；</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硬件配置：</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 国产非 OEM 机架式平台，CPU：双路，配置≥2颗32核CPU，主频≥2.4GHz；</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2.内存配置≥2*32GBDDR4 内存，最大支持≥1TB；提供≥24 个内存插槽，支持 AEP 内存，支持高级 ECC、内存在线热备、内存镜像技术；</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3.系统硬盘配置≥240GB SSD；</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4.数据硬盘配置≥2×2TB；</w:t>
            </w:r>
            <w:r>
              <w:rPr>
                <w:rFonts w:hint="eastAsia" w:cs="仿宋_GB2312"/>
                <w:kern w:val="0"/>
                <w:sz w:val="21"/>
                <w:szCs w:val="21"/>
                <w:lang w:val="en-US" w:eastAsia="zh-CN"/>
              </w:rPr>
              <w:br w:type="textWrapping"/>
            </w:r>
            <w:r>
              <w:rPr>
                <w:rFonts w:hint="eastAsia" w:cs="仿宋_GB2312"/>
                <w:kern w:val="0"/>
                <w:sz w:val="21"/>
                <w:szCs w:val="21"/>
                <w:lang w:val="en-US" w:eastAsia="zh-CN"/>
              </w:rPr>
              <w:t>5.配置独立硬件 RAID 卡，支持 RAID0/1/5；</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6.配置≥2 个千兆以太网接口；≥6 个 USB 接口，配置≥2 个VGA 接口；</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7.质保期内提供硬盘维修，不回收服务。</w:t>
            </w:r>
          </w:p>
        </w:tc>
        <w:tc>
          <w:tcPr>
            <w:tcW w:w="44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default" w:cs="仿宋_GB2312"/>
                <w:kern w:val="0"/>
                <w:sz w:val="21"/>
                <w:szCs w:val="21"/>
                <w:lang w:val="en-US" w:eastAsia="zh-CN"/>
              </w:rPr>
            </w:pPr>
            <w:r>
              <w:rPr>
                <w:rFonts w:hint="eastAsia" w:cs="仿宋_GB2312"/>
                <w:kern w:val="0"/>
                <w:sz w:val="21"/>
                <w:szCs w:val="21"/>
                <w:lang w:val="en-US" w:eastAsia="zh-CN"/>
              </w:rPr>
              <w:t>根据指标要求进行评审，支持的项越多，算法服务器功能越强。</w:t>
            </w:r>
          </w:p>
        </w:tc>
        <w:tc>
          <w:tcPr>
            <w:tcW w:w="43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查看厂商产品自声明文件或者产品说明书（规格书）或者公开发布的宣传彩页。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ascii="仿宋_GB2312" w:hAnsi="仿宋_GB2312" w:eastAsia="仿宋_GB2312" w:cs="仿宋_GB2312"/>
                <w:kern w:val="0"/>
                <w:sz w:val="21"/>
                <w:szCs w:val="21"/>
                <w:lang w:val="en-US" w:eastAsia="zh-CN" w:bidi="ar-SA"/>
              </w:rPr>
            </w:pPr>
            <w:r>
              <w:rPr>
                <w:rFonts w:hint="eastAsia" w:cs="仿宋_GB2312"/>
                <w:kern w:val="0"/>
                <w:sz w:val="21"/>
                <w:szCs w:val="21"/>
                <w:lang w:val="en-US" w:eastAsia="zh-CN" w:bidi="ar-SA"/>
              </w:rPr>
              <w:t>5</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ascii="宋体" w:hAnsi="宋体" w:cs="宋体"/>
                <w:color w:val="000000"/>
                <w:kern w:val="0"/>
                <w:sz w:val="20"/>
                <w:szCs w:val="20"/>
                <w:lang w:bidi="ar"/>
              </w:rPr>
              <w:t>服务器</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ascii="宋体" w:hAnsi="宋体" w:eastAsia="宋体" w:cs="宋体"/>
                <w:bCs w:val="0"/>
                <w:kern w:val="0"/>
                <w:sz w:val="21"/>
                <w:szCs w:val="21"/>
                <w:lang w:val="en-US" w:eastAsia="zh-CN" w:bidi="ar-SA"/>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ascii="仿宋_GB2312" w:hAnsi="仿宋_GB2312" w:eastAsia="仿宋_GB2312" w:cs="仿宋_GB2312"/>
                <w:kern w:val="0"/>
                <w:sz w:val="21"/>
                <w:szCs w:val="21"/>
                <w:lang w:val="en-US" w:eastAsia="zh-CN" w:bidi="ar-SA"/>
              </w:rPr>
            </w:pPr>
            <w:r>
              <w:rPr>
                <w:rFonts w:hint="eastAsia" w:ascii="宋体" w:hAnsi="宋体" w:eastAsia="宋体" w:cs="宋体"/>
                <w:bCs w:val="0"/>
                <w:kern w:val="0"/>
                <w:sz w:val="21"/>
                <w:szCs w:val="21"/>
                <w:lang w:val="en-US" w:eastAsia="zh-CN" w:bidi="ar-SA"/>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rPr>
              <w:t xml:space="preserve">强制要求   </w:t>
            </w:r>
            <w:r>
              <w:rPr>
                <w:rFonts w:hint="eastAsia" w:cs="仿宋_GB2312"/>
                <w:kern w:val="0"/>
                <w:sz w:val="21"/>
                <w:szCs w:val="21"/>
                <w:lang w:eastAsia="zh-CN"/>
              </w:rPr>
              <w:t>□</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distribute"/>
              <w:rPr>
                <w:rFonts w:hint="eastAsia" w:ascii="仿宋_GB2312" w:hAnsi="仿宋_GB2312" w:eastAsia="仿宋_GB2312" w:cs="仿宋_GB2312"/>
                <w:kern w:val="0"/>
                <w:sz w:val="21"/>
                <w:szCs w:val="21"/>
                <w:lang w:val="en-US" w:eastAsia="zh-CN" w:bidi="ar-SA"/>
              </w:rPr>
            </w:pPr>
            <w:r>
              <w:rPr>
                <w:rFonts w:hint="eastAsia" w:ascii="仿宋_GB2312" w:hAnsi="仿宋_GB2312" w:eastAsia="仿宋_GB2312" w:cs="仿宋_GB2312"/>
                <w:kern w:val="0"/>
                <w:sz w:val="21"/>
                <w:szCs w:val="21"/>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硬件配置要求如下：</w:t>
            </w:r>
            <w:r>
              <w:rPr>
                <w:rFonts w:hint="eastAsia" w:cs="仿宋_GB2312"/>
                <w:kern w:val="0"/>
                <w:sz w:val="21"/>
                <w:szCs w:val="21"/>
                <w:lang w:val="en-US" w:eastAsia="zh-CN"/>
              </w:rPr>
              <w:br w:type="textWrapping"/>
            </w:r>
            <w:r>
              <w:rPr>
                <w:rFonts w:hint="eastAsia" w:cs="仿宋_GB2312"/>
                <w:kern w:val="0"/>
                <w:sz w:val="21"/>
                <w:szCs w:val="21"/>
                <w:lang w:val="en-US" w:eastAsia="zh-CN"/>
              </w:rPr>
              <w:t>1.CPU：双路，配置≥2颗32核CPU，主频≥2.4GHz，内存配置≥2*32GBBDDR4 内存，最大支持≥1TB；</w:t>
            </w:r>
            <w:r>
              <w:rPr>
                <w:rFonts w:hint="eastAsia" w:cs="仿宋_GB2312"/>
                <w:kern w:val="0"/>
                <w:sz w:val="21"/>
                <w:szCs w:val="21"/>
                <w:lang w:val="en-US" w:eastAsia="zh-CN"/>
              </w:rPr>
              <w:br w:type="textWrapping"/>
            </w:r>
            <w:r>
              <w:rPr>
                <w:rFonts w:hint="eastAsia" w:cs="仿宋_GB2312"/>
                <w:kern w:val="0"/>
                <w:sz w:val="21"/>
                <w:szCs w:val="21"/>
                <w:lang w:val="en-US" w:eastAsia="zh-CN"/>
              </w:rPr>
              <w:t>2.系统硬盘配置≥240GB SSD；</w:t>
            </w:r>
            <w:r>
              <w:rPr>
                <w:rFonts w:hint="eastAsia" w:cs="仿宋_GB2312"/>
                <w:kern w:val="0"/>
                <w:sz w:val="21"/>
                <w:szCs w:val="21"/>
                <w:lang w:val="en-US" w:eastAsia="zh-CN"/>
              </w:rPr>
              <w:br w:type="textWrapping"/>
            </w:r>
            <w:r>
              <w:rPr>
                <w:rFonts w:hint="eastAsia" w:cs="仿宋_GB2312"/>
                <w:kern w:val="0"/>
                <w:sz w:val="21"/>
                <w:szCs w:val="21"/>
                <w:lang w:val="en-US" w:eastAsia="zh-CN"/>
              </w:rPr>
              <w:t>3.数据硬盘配置≥2×2TB；</w:t>
            </w:r>
            <w:r>
              <w:rPr>
                <w:rFonts w:hint="eastAsia" w:cs="仿宋_GB2312"/>
                <w:kern w:val="0"/>
                <w:sz w:val="21"/>
                <w:szCs w:val="21"/>
                <w:lang w:val="en-US" w:eastAsia="zh-CN"/>
              </w:rPr>
              <w:br w:type="textWrapping"/>
            </w:r>
            <w:r>
              <w:rPr>
                <w:rFonts w:hint="eastAsia" w:cs="仿宋_GB2312"/>
                <w:kern w:val="0"/>
                <w:sz w:val="21"/>
                <w:szCs w:val="21"/>
                <w:lang w:val="en-US" w:eastAsia="zh-CN"/>
              </w:rPr>
              <w:t>4.支持Raid 0/1/5；</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5.质保期内提供硬盘维修，不回收服务。</w:t>
            </w:r>
          </w:p>
        </w:tc>
        <w:tc>
          <w:tcPr>
            <w:tcW w:w="44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r>
              <w:rPr>
                <w:rFonts w:hint="eastAsia" w:cs="仿宋_GB2312"/>
                <w:kern w:val="0"/>
                <w:sz w:val="21"/>
                <w:szCs w:val="21"/>
                <w:lang w:val="en-US" w:eastAsia="zh-CN"/>
              </w:rPr>
              <w:t>根据指标要求进行评审，支持的项越多，各设备功能越强。</w:t>
            </w:r>
          </w:p>
        </w:tc>
        <w:tc>
          <w:tcPr>
            <w:tcW w:w="432"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查看厂商产品自声明文件或者产品说明书（规格书）或者公开发布的宣传彩页。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bidi="ar-SA"/>
              </w:rPr>
            </w:pPr>
            <w:r>
              <w:rPr>
                <w:rFonts w:hint="eastAsia" w:cs="仿宋_GB2312"/>
                <w:kern w:val="0"/>
                <w:sz w:val="21"/>
                <w:szCs w:val="21"/>
                <w:lang w:val="en-US" w:eastAsia="zh-CN" w:bidi="ar-SA"/>
              </w:rPr>
              <w:t>6</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千兆防火墙</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1.模块化插槽≥4个；</w:t>
            </w:r>
            <w:r>
              <w:rPr>
                <w:rFonts w:hint="eastAsia" w:cs="仿宋_GB2312"/>
                <w:kern w:val="0"/>
                <w:sz w:val="21"/>
                <w:szCs w:val="21"/>
                <w:lang w:val="en-US" w:eastAsia="zh-CN"/>
              </w:rPr>
              <w:br w:type="textWrapping"/>
            </w:r>
            <w:r>
              <w:rPr>
                <w:rFonts w:hint="eastAsia" w:cs="仿宋_GB2312"/>
                <w:kern w:val="0"/>
                <w:sz w:val="21"/>
                <w:szCs w:val="21"/>
                <w:lang w:val="en-US" w:eastAsia="zh-CN"/>
              </w:rPr>
              <w:t>2.整机化吞吐率≥8GB bps；</w:t>
            </w:r>
            <w:r>
              <w:rPr>
                <w:rFonts w:hint="eastAsia" w:cs="仿宋_GB2312"/>
                <w:kern w:val="0"/>
                <w:sz w:val="21"/>
                <w:szCs w:val="21"/>
                <w:lang w:val="en-US" w:eastAsia="zh-CN"/>
              </w:rPr>
              <w:br w:type="textWrapping"/>
            </w:r>
            <w:r>
              <w:rPr>
                <w:rFonts w:hint="eastAsia" w:cs="仿宋_GB2312"/>
                <w:kern w:val="0"/>
                <w:sz w:val="21"/>
                <w:szCs w:val="21"/>
                <w:lang w:val="en-US" w:eastAsia="zh-CN"/>
              </w:rPr>
              <w:t>3.配备≥8×GE（电）+≥8×GE（光）+Console+MGMT+HA+≥2×USB接口；</w:t>
            </w:r>
            <w:r>
              <w:rPr>
                <w:rFonts w:hint="eastAsia" w:cs="仿宋_GB2312"/>
                <w:kern w:val="0"/>
                <w:sz w:val="21"/>
                <w:szCs w:val="21"/>
                <w:lang w:val="en-US" w:eastAsia="zh-CN"/>
              </w:rPr>
              <w:br w:type="textWrapping"/>
            </w:r>
            <w:r>
              <w:rPr>
                <w:rFonts w:hint="eastAsia" w:cs="仿宋_GB2312"/>
                <w:kern w:val="0"/>
                <w:sz w:val="21"/>
                <w:szCs w:val="21"/>
                <w:lang w:val="en-US" w:eastAsia="zh-CN"/>
              </w:rPr>
              <w:t>4.双冗余电源，风扇配置；</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bidi="ar-SA"/>
              </w:rPr>
            </w:pPr>
            <w:r>
              <w:rPr>
                <w:rFonts w:hint="eastAsia" w:cs="仿宋_GB2312"/>
                <w:kern w:val="0"/>
                <w:sz w:val="21"/>
                <w:szCs w:val="21"/>
                <w:lang w:val="en-US" w:eastAsia="zh-CN" w:bidi="ar-SA"/>
              </w:rPr>
              <w:t>7</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入侵检测设备</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1.配备≥4×GE（电）+≥4×GE（光）+Console+≥2×MGMT+≥2×USB接口；</w:t>
            </w:r>
            <w:r>
              <w:rPr>
                <w:rFonts w:hint="eastAsia" w:cs="仿宋_GB2312"/>
                <w:kern w:val="0"/>
                <w:sz w:val="21"/>
                <w:szCs w:val="21"/>
                <w:lang w:val="en-US" w:eastAsia="zh-CN"/>
              </w:rPr>
              <w:br w:type="textWrapping"/>
            </w:r>
            <w:r>
              <w:rPr>
                <w:rFonts w:hint="eastAsia" w:cs="仿宋_GB2312"/>
                <w:kern w:val="0"/>
                <w:sz w:val="21"/>
                <w:szCs w:val="21"/>
                <w:lang w:val="en-US" w:eastAsia="zh-CN"/>
              </w:rPr>
              <w:t>2.双冗余电源，风扇冗余配置；</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bidi="ar-SA"/>
              </w:rPr>
            </w:pPr>
            <w:r>
              <w:rPr>
                <w:rFonts w:hint="eastAsia" w:cs="仿宋_GB2312"/>
                <w:kern w:val="0"/>
                <w:sz w:val="21"/>
                <w:szCs w:val="21"/>
                <w:lang w:val="en-US" w:eastAsia="zh-CN" w:bidi="ar-SA"/>
              </w:rPr>
              <w:t>8</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交换机</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1.至少提供≥24个千兆以太网电接口，≥2个万兆以太网光接口；</w:t>
            </w:r>
            <w:r>
              <w:rPr>
                <w:rFonts w:hint="eastAsia" w:cs="仿宋_GB2312"/>
                <w:kern w:val="0"/>
                <w:sz w:val="21"/>
                <w:szCs w:val="21"/>
                <w:lang w:val="en-US" w:eastAsia="zh-CN"/>
              </w:rPr>
              <w:br w:type="textWrapping"/>
            </w:r>
            <w:r>
              <w:rPr>
                <w:rFonts w:hint="eastAsia" w:cs="仿宋_GB2312"/>
                <w:kern w:val="0"/>
                <w:sz w:val="21"/>
                <w:szCs w:val="21"/>
                <w:lang w:val="en-US" w:eastAsia="zh-CN"/>
              </w:rPr>
              <w:t>2.提供交流电电源冗余配置；</w:t>
            </w:r>
            <w:r>
              <w:rPr>
                <w:rFonts w:hint="eastAsia" w:cs="仿宋_GB2312"/>
                <w:kern w:val="0"/>
                <w:sz w:val="21"/>
                <w:szCs w:val="21"/>
                <w:lang w:val="en-US" w:eastAsia="zh-CN"/>
              </w:rPr>
              <w:br w:type="textWrapping"/>
            </w:r>
            <w:r>
              <w:rPr>
                <w:rFonts w:hint="eastAsia" w:cs="仿宋_GB2312"/>
                <w:kern w:val="0"/>
                <w:sz w:val="21"/>
                <w:szCs w:val="21"/>
                <w:lang w:val="en-US" w:eastAsia="zh-CN"/>
              </w:rPr>
              <w:t>3.MAC表容量：≥32000条；</w:t>
            </w:r>
            <w:r>
              <w:rPr>
                <w:rFonts w:hint="eastAsia" w:cs="仿宋_GB2312"/>
                <w:kern w:val="0"/>
                <w:sz w:val="21"/>
                <w:szCs w:val="21"/>
                <w:lang w:val="en-US" w:eastAsia="zh-CN"/>
              </w:rPr>
              <w:br w:type="textWrapping"/>
            </w:r>
            <w:r>
              <w:rPr>
                <w:rFonts w:hint="eastAsia" w:cs="仿宋_GB2312"/>
                <w:kern w:val="0"/>
                <w:sz w:val="21"/>
                <w:szCs w:val="21"/>
                <w:lang w:val="en-US" w:eastAsia="zh-CN"/>
              </w:rPr>
              <w:t>4.IPv4转发表容量：≥8000条；</w:t>
            </w:r>
            <w:r>
              <w:rPr>
                <w:rFonts w:hint="eastAsia" w:cs="仿宋_GB2312"/>
                <w:kern w:val="0"/>
                <w:sz w:val="21"/>
                <w:szCs w:val="21"/>
                <w:lang w:val="en-US" w:eastAsia="zh-CN"/>
              </w:rPr>
              <w:br w:type="textWrapping"/>
            </w:r>
            <w:r>
              <w:rPr>
                <w:rFonts w:hint="eastAsia" w:cs="仿宋_GB2312"/>
                <w:kern w:val="0"/>
                <w:sz w:val="21"/>
                <w:szCs w:val="21"/>
                <w:lang w:val="en-US" w:eastAsia="zh-CN"/>
              </w:rPr>
              <w:t>5.交换容量：≥96Gbps；</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9</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加密SIM卡</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1.移动终端使用定制的保密SIM卡，与5G核心网和算法服务器定制，提供专属接入方式。（本项目不含移动终端）</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2.支持“SIM卡远程遥毁”功能；</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default" w:ascii="仿宋_GB2312" w:hAnsi="仿宋_GB2312" w:eastAsia="仿宋_GB2312"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10</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无线基站</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满足基地5G信号全覆盖、基地边缘信号覆盖电平达到-90dBm，单用户上行边缘峰值速率达到30Mbps、下行边缘峰值速率达到150Mbps。</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11</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线路敷设</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线路敷设及相关辅材</w:t>
            </w:r>
          </w:p>
        </w:tc>
        <w:tc>
          <w:tcPr>
            <w:tcW w:w="44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cs="仿宋_GB2312"/>
                <w:kern w:val="0"/>
                <w:sz w:val="21"/>
                <w:szCs w:val="21"/>
                <w:lang w:val="en-US" w:eastAsia="zh-CN"/>
              </w:rPr>
            </w:pPr>
            <w:r>
              <w:rPr>
                <w:rFonts w:hint="eastAsia" w:cs="仿宋_GB2312"/>
                <w:kern w:val="0"/>
                <w:sz w:val="21"/>
                <w:szCs w:val="21"/>
                <w:lang w:val="en-US" w:eastAsia="zh-CN"/>
              </w:rPr>
              <w:t>根据指标要求进行评审，支持的项越多，线路敷设、系统集成服务越强。</w:t>
            </w:r>
          </w:p>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c>
          <w:tcPr>
            <w:tcW w:w="432"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查看厂商产品自声明文件或者产品说明书（规格书）或者公开发布的宣传彩页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12</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系统集成服务</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负责5G专网设备的集成、安装、调试</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292"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13</w:t>
            </w:r>
          </w:p>
        </w:tc>
        <w:tc>
          <w:tcPr>
            <w:tcW w:w="337"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功能要求</w:t>
            </w:r>
          </w:p>
        </w:tc>
        <w:tc>
          <w:tcPr>
            <w:tcW w:w="371"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放装AP</w:t>
            </w:r>
          </w:p>
        </w:tc>
        <w:tc>
          <w:tcPr>
            <w:tcW w:w="354"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w:t>
            </w:r>
          </w:p>
        </w:tc>
        <w:tc>
          <w:tcPr>
            <w:tcW w:w="35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top"/>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1.支持802.11a/n/ac/ac wave2/ax协议标准，支持2.4GHz/5GHz双频段同时工作；</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2.总空间流数≥4，整机速率≥2.9Gbps，支持≥1个GE口；</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3.支持AP本地转发（又称直接转发）时，应用识别和QOS分类，针对业界常用的QQ、微信等应用，能显著提升语音质量；</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4.支持AP零配置，AP可以通过DHCP、DNS方式自动注册到无线控制器AC；</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5.支持内置智能天线,内置蓝牙5.0,支持蓝牙串口远距无线运维；</w:t>
            </w:r>
          </w:p>
        </w:tc>
        <w:tc>
          <w:tcPr>
            <w:tcW w:w="44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r>
              <w:rPr>
                <w:rFonts w:hint="eastAsia" w:cs="仿宋_GB2312"/>
                <w:kern w:val="0"/>
                <w:sz w:val="21"/>
                <w:szCs w:val="21"/>
                <w:lang w:val="en-US" w:eastAsia="zh-CN"/>
              </w:rPr>
              <w:t>根据指标要求进行评审，支持的项越多，各设备功能越强。</w:t>
            </w: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29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37"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54"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5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pPr>
            <w:r>
              <w:rPr>
                <w:rFonts w:hint="eastAsia" w:cs="仿宋_GB2312"/>
                <w:kern w:val="0"/>
                <w:sz w:val="21"/>
                <w:szCs w:val="21"/>
                <w:lang w:val="en-US" w:eastAsia="zh-CN"/>
              </w:rPr>
              <w:t>加分值权重 ☑</w:t>
            </w:r>
          </w:p>
        </w:tc>
        <w:tc>
          <w:tcPr>
            <w:tcW w:w="1542" w:type="pct"/>
            <w:noWrap w:val="0"/>
            <w:vAlign w:val="top"/>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▲6.为保障在特殊情况下临时快速无线组网的需求，实现无AC控制器组网，要求AP支持无AC小型组网，同时实现多AP漫游功能及DHCP功能，提供自组网AP数量≥16。</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292" w:type="pct"/>
            <w:vMerge w:val="restart"/>
            <w:tcBorders>
              <w:top w:val="single" w:color="auto" w:sz="4" w:space="0"/>
              <w:left w:val="single" w:color="auto" w:sz="4" w:space="0"/>
              <w:right w:val="single" w:color="auto" w:sz="4" w:space="0"/>
            </w:tcBorders>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14</w:t>
            </w:r>
          </w:p>
        </w:tc>
        <w:tc>
          <w:tcPr>
            <w:tcW w:w="337"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功能要求</w:t>
            </w:r>
          </w:p>
        </w:tc>
        <w:tc>
          <w:tcPr>
            <w:tcW w:w="371"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高密放装AP</w:t>
            </w:r>
          </w:p>
        </w:tc>
        <w:tc>
          <w:tcPr>
            <w:tcW w:w="354"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w:t>
            </w:r>
          </w:p>
        </w:tc>
        <w:tc>
          <w:tcPr>
            <w:tcW w:w="35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top"/>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1.支持802.11a/n/ac/ac wave2/ax协议标准，支持三频段同时工作；</w:t>
            </w:r>
            <w:r>
              <w:rPr>
                <w:rFonts w:hint="eastAsia" w:cs="仿宋_GB2312"/>
                <w:kern w:val="0"/>
                <w:sz w:val="21"/>
                <w:szCs w:val="21"/>
                <w:lang w:val="en-US" w:eastAsia="zh-CN"/>
              </w:rPr>
              <w:br w:type="textWrapping"/>
            </w:r>
            <w:r>
              <w:rPr>
                <w:rFonts w:hint="eastAsia" w:cs="仿宋_GB2312"/>
                <w:kern w:val="0"/>
                <w:sz w:val="21"/>
                <w:szCs w:val="21"/>
                <w:lang w:val="en-US" w:eastAsia="zh-CN"/>
              </w:rPr>
              <w:t>2.总空间流数≥8，整机速率≥6.5Gbps；</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3.支持1×2.5GE电口+1 ×1GE电口；</w:t>
            </w:r>
            <w:r>
              <w:rPr>
                <w:rFonts w:hint="eastAsia" w:cs="仿宋_GB2312"/>
                <w:kern w:val="0"/>
                <w:sz w:val="21"/>
                <w:szCs w:val="21"/>
                <w:lang w:val="en-US" w:eastAsia="zh-CN"/>
              </w:rPr>
              <w:br w:type="textWrapping"/>
            </w:r>
            <w:r>
              <w:rPr>
                <w:rFonts w:hint="eastAsia" w:cs="仿宋_GB2312"/>
                <w:kern w:val="0"/>
                <w:sz w:val="21"/>
                <w:szCs w:val="21"/>
                <w:lang w:val="en-US" w:eastAsia="zh-CN"/>
              </w:rPr>
              <w:t>4.支持内置智能天线,内置蓝牙5.0,支持蓝牙串口远距无线运维；支持USB接口；</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5.支持AP本地转发（又称直接转发）时，应用识别和QOS分类，针对业界常用的QQ、微信等应用，能显著提升语音质量；</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6.支持AP零配置，AP可以通过DHCP、DNS方式自动注册到无线控制器AC；</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292" w:type="pct"/>
            <w:vMerge w:val="continue"/>
            <w:tcBorders>
              <w:left w:val="single" w:color="auto" w:sz="4" w:space="0"/>
              <w:bottom w:val="single" w:color="auto" w:sz="4" w:space="0"/>
              <w:right w:val="single" w:color="auto" w:sz="4" w:space="0"/>
            </w:tcBorders>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37"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54"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5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pPr>
            <w:r>
              <w:rPr>
                <w:rFonts w:hint="eastAsia" w:cs="仿宋_GB2312"/>
                <w:kern w:val="0"/>
                <w:sz w:val="21"/>
                <w:szCs w:val="21"/>
                <w:lang w:val="en-US" w:eastAsia="zh-CN"/>
              </w:rPr>
              <w:t>加分值权重 ☑</w:t>
            </w:r>
          </w:p>
        </w:tc>
        <w:tc>
          <w:tcPr>
            <w:tcW w:w="1542" w:type="pct"/>
            <w:noWrap w:val="0"/>
            <w:vAlign w:val="top"/>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▲7.为保障在特殊情况下临时快速无线组网的需求，实现无AC控制器组网，要求AP支持无AC小型组网，同时实现多AP漫游功能及DHCP功能，提供自组网AP数量≥16。</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0" w:hRule="atLeast"/>
          <w:jc w:val="center"/>
        </w:trPr>
        <w:tc>
          <w:tcPr>
            <w:tcW w:w="292" w:type="pct"/>
            <w:vMerge w:val="restart"/>
            <w:tcBorders>
              <w:top w:val="single" w:color="auto" w:sz="4" w:space="0"/>
              <w:left w:val="single" w:color="auto" w:sz="4" w:space="0"/>
              <w:right w:val="single" w:color="auto" w:sz="4" w:space="0"/>
            </w:tcBorders>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15</w:t>
            </w:r>
          </w:p>
        </w:tc>
        <w:tc>
          <w:tcPr>
            <w:tcW w:w="337"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功能要求</w:t>
            </w:r>
          </w:p>
        </w:tc>
        <w:tc>
          <w:tcPr>
            <w:tcW w:w="371"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面板AP</w:t>
            </w:r>
          </w:p>
        </w:tc>
        <w:tc>
          <w:tcPr>
            <w:tcW w:w="354"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w:t>
            </w:r>
          </w:p>
        </w:tc>
        <w:tc>
          <w:tcPr>
            <w:tcW w:w="35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top"/>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1.支持802.11a/n/ac/ac wave2/ax协议标准，支持2.4GHz/5GHz双频段同时工作；</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2.总空间流数≥4，整机速率≥2.9Gbps；</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3.上行支持≥1个GE口，下线支持≥1个GE口；</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4.支持内置智能天线,内置蓝牙5.0,支持蓝牙串口远距无线运维；</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5.支持AP零配置，AP可以通过DHCP、DNS方式自动注册到无线控制器AC；</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292" w:type="pct"/>
            <w:vMerge w:val="continue"/>
            <w:tcBorders>
              <w:left w:val="single" w:color="auto" w:sz="4" w:space="0"/>
              <w:bottom w:val="single" w:color="auto" w:sz="4" w:space="0"/>
              <w:right w:val="single" w:color="auto" w:sz="4" w:space="0"/>
            </w:tcBorders>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37"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54"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5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pPr>
            <w:r>
              <w:rPr>
                <w:rFonts w:hint="eastAsia" w:cs="仿宋_GB2312"/>
                <w:kern w:val="0"/>
                <w:sz w:val="21"/>
                <w:szCs w:val="21"/>
                <w:lang w:val="en-US" w:eastAsia="zh-CN"/>
              </w:rPr>
              <w:t>加分值权重 ☑</w:t>
            </w:r>
          </w:p>
        </w:tc>
        <w:tc>
          <w:tcPr>
            <w:tcW w:w="1542" w:type="pct"/>
            <w:noWrap w:val="0"/>
            <w:vAlign w:val="top"/>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▲6.为保障在特殊情况下临时快速无线组网的需求，实现无AC控制器组网，要求AP支持无AC小型组网，同时实现多AP漫游功能及DHCP功能，提供自组网AP数量≥16。</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292" w:type="pct"/>
            <w:tcBorders>
              <w:top w:val="single" w:color="auto" w:sz="4" w:space="0"/>
              <w:left w:val="single" w:color="auto" w:sz="4" w:space="0"/>
              <w:bottom w:val="single" w:color="auto" w:sz="4" w:space="0"/>
              <w:right w:val="single" w:color="auto" w:sz="4" w:space="0"/>
            </w:tcBorders>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16</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无线控制器</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top"/>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1.万兆光口≥12，千兆电口≥12，2个40GE光接口，直接/隧道转发吞吐量≥120Gbps；</w:t>
            </w:r>
            <w:r>
              <w:rPr>
                <w:rFonts w:hint="eastAsia" w:cs="仿宋_GB2312"/>
                <w:kern w:val="0"/>
                <w:sz w:val="21"/>
                <w:szCs w:val="21"/>
                <w:lang w:val="en-US" w:eastAsia="zh-CN"/>
              </w:rPr>
              <w:br w:type="textWrapping"/>
            </w:r>
            <w:r>
              <w:rPr>
                <w:rFonts w:hint="eastAsia" w:cs="仿宋_GB2312"/>
                <w:kern w:val="0"/>
                <w:sz w:val="21"/>
                <w:szCs w:val="21"/>
                <w:lang w:val="en-US" w:eastAsia="zh-CN"/>
              </w:rPr>
              <w:t>2.协议支持802.11 a/b/g/n/ac/ac wave2/ax；</w:t>
            </w:r>
            <w:r>
              <w:rPr>
                <w:rFonts w:hint="eastAsia" w:cs="仿宋_GB2312"/>
                <w:kern w:val="0"/>
                <w:sz w:val="21"/>
                <w:szCs w:val="21"/>
                <w:lang w:val="en-US" w:eastAsia="zh-CN"/>
              </w:rPr>
              <w:br w:type="textWrapping"/>
            </w:r>
            <w:r>
              <w:rPr>
                <w:rFonts w:hint="eastAsia" w:cs="仿宋_GB2312"/>
                <w:kern w:val="0"/>
                <w:sz w:val="21"/>
                <w:szCs w:val="21"/>
                <w:lang w:val="en-US" w:eastAsia="zh-CN"/>
              </w:rPr>
              <w:t>3.最大管理AP数量≥3K，最大接入用户数量≥30K，本次配置无线管理授权600个；</w:t>
            </w:r>
            <w:r>
              <w:rPr>
                <w:rFonts w:hint="eastAsia" w:cs="仿宋_GB2312"/>
                <w:kern w:val="0"/>
                <w:sz w:val="21"/>
                <w:szCs w:val="21"/>
                <w:lang w:val="en-US" w:eastAsia="zh-CN"/>
              </w:rPr>
              <w:br w:type="textWrapping"/>
            </w:r>
            <w:r>
              <w:rPr>
                <w:rFonts w:hint="eastAsia" w:cs="仿宋_GB2312"/>
                <w:kern w:val="0"/>
                <w:sz w:val="21"/>
                <w:szCs w:val="21"/>
                <w:lang w:val="en-US" w:eastAsia="zh-CN"/>
              </w:rPr>
              <w:t>4.单台AC支持双电源备份，支持电源模块热插拔时单电源供电；</w:t>
            </w:r>
            <w:r>
              <w:rPr>
                <w:rFonts w:hint="eastAsia" w:cs="仿宋_GB2312"/>
                <w:kern w:val="0"/>
                <w:sz w:val="21"/>
                <w:szCs w:val="21"/>
                <w:lang w:val="en-US" w:eastAsia="zh-CN"/>
              </w:rPr>
              <w:br w:type="textWrapping"/>
            </w:r>
            <w:r>
              <w:rPr>
                <w:rFonts w:hint="eastAsia" w:cs="仿宋_GB2312"/>
                <w:kern w:val="0"/>
                <w:sz w:val="21"/>
                <w:szCs w:val="21"/>
                <w:lang w:val="en-US" w:eastAsia="zh-CN"/>
              </w:rPr>
              <w:t>5.支持静态路由、RIP-1/RIP-2、OSPF、BGP、IS-IS、路由策略、策略路由；</w:t>
            </w:r>
            <w:r>
              <w:rPr>
                <w:rFonts w:hint="eastAsia" w:cs="仿宋_GB2312"/>
                <w:kern w:val="0"/>
                <w:sz w:val="21"/>
                <w:szCs w:val="21"/>
                <w:lang w:val="en-US" w:eastAsia="zh-CN"/>
              </w:rPr>
              <w:br w:type="textWrapping"/>
            </w:r>
            <w:r>
              <w:rPr>
                <w:rFonts w:hint="eastAsia" w:cs="仿宋_GB2312"/>
                <w:kern w:val="0"/>
                <w:sz w:val="21"/>
                <w:szCs w:val="21"/>
                <w:lang w:val="en-US" w:eastAsia="zh-CN"/>
              </w:rPr>
              <w:t>6.支持提供MAC 地址认证、802.1x认证、Portal认证、MAC+Portal混合认证、WAPI认证,支持WPA标准、WEP、TKIP、CCMP，内置Portal/AAA服务器，可为用户提供Portal认证/802.1X服务；</w:t>
            </w:r>
            <w:r>
              <w:rPr>
                <w:rFonts w:hint="eastAsia" w:cs="仿宋_GB2312"/>
                <w:kern w:val="0"/>
                <w:sz w:val="21"/>
                <w:szCs w:val="21"/>
                <w:lang w:val="en-US" w:eastAsia="zh-CN"/>
              </w:rPr>
              <w:br w:type="textWrapping"/>
            </w:r>
            <w:r>
              <w:rPr>
                <w:rFonts w:hint="eastAsia" w:cs="仿宋_GB2312"/>
                <w:kern w:val="0"/>
                <w:sz w:val="21"/>
                <w:szCs w:val="21"/>
                <w:lang w:val="en-US" w:eastAsia="zh-CN"/>
              </w:rPr>
              <w:t>7.支持PPSK,AC可为同一个SSID下的不同终端分配不同的PSK密钥，无需其他系统支持；</w:t>
            </w:r>
            <w:r>
              <w:rPr>
                <w:rFonts w:hint="eastAsia" w:cs="仿宋_GB2312"/>
                <w:kern w:val="0"/>
                <w:sz w:val="21"/>
                <w:szCs w:val="21"/>
                <w:lang w:val="en-US" w:eastAsia="zh-CN"/>
              </w:rPr>
              <w:br w:type="textWrapping"/>
            </w:r>
            <w:r>
              <w:rPr>
                <w:rFonts w:hint="eastAsia" w:cs="仿宋_GB2312"/>
                <w:kern w:val="0"/>
                <w:sz w:val="21"/>
                <w:szCs w:val="21"/>
                <w:lang w:val="en-US" w:eastAsia="zh-CN"/>
              </w:rPr>
              <w:t>8.AP支持IPv4与IPv6 双栈与AC建立capwap隧道，且被正常管理（无线控制器可以同时运行IPv4与IPv6协议与AP建立capwap隧道连接，提高AP与无线控制器的隧道稳定性）；</w:t>
            </w:r>
            <w:r>
              <w:rPr>
                <w:rFonts w:hint="eastAsia" w:cs="仿宋_GB2312"/>
                <w:kern w:val="0"/>
                <w:sz w:val="21"/>
                <w:szCs w:val="21"/>
                <w:lang w:val="en-US" w:eastAsia="zh-CN"/>
              </w:rPr>
              <w:br w:type="textWrapping"/>
            </w:r>
            <w:r>
              <w:rPr>
                <w:rFonts w:hint="eastAsia" w:cs="仿宋_GB2312"/>
                <w:kern w:val="0"/>
                <w:sz w:val="21"/>
                <w:szCs w:val="21"/>
                <w:lang w:val="en-US" w:eastAsia="zh-CN"/>
              </w:rPr>
              <w:t>9.支持设备冗余备份功能,可支持1+1或N+1备份，并支持主备AC间配置同步；</w:t>
            </w:r>
            <w:r>
              <w:rPr>
                <w:rFonts w:hint="eastAsia" w:cs="仿宋_GB2312"/>
                <w:kern w:val="0"/>
                <w:sz w:val="21"/>
                <w:szCs w:val="21"/>
                <w:lang w:val="en-US" w:eastAsia="zh-CN"/>
              </w:rPr>
              <w:br w:type="textWrapping"/>
            </w:r>
            <w:r>
              <w:rPr>
                <w:rFonts w:hint="eastAsia" w:cs="仿宋_GB2312"/>
                <w:kern w:val="0"/>
                <w:sz w:val="21"/>
                <w:szCs w:val="21"/>
                <w:lang w:val="en-US" w:eastAsia="zh-CN"/>
              </w:rPr>
              <w:t>10.提供整体无线网络性能监控,支持对AC/AP/射频/终端的性能监控。</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11.AC支持可视化端到端的故障诊断,显示用户、AP、AC连接图,呈现故障根因和处理建议，需要提供官网链接及截图证明。</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292" w:type="pct"/>
            <w:vMerge w:val="restart"/>
            <w:tcBorders>
              <w:top w:val="single" w:color="auto" w:sz="4" w:space="0"/>
              <w:left w:val="single" w:color="auto" w:sz="4" w:space="0"/>
              <w:right w:val="single" w:color="auto" w:sz="4" w:space="0"/>
            </w:tcBorders>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17</w:t>
            </w:r>
          </w:p>
        </w:tc>
        <w:tc>
          <w:tcPr>
            <w:tcW w:w="337"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功能要求</w:t>
            </w:r>
          </w:p>
        </w:tc>
        <w:tc>
          <w:tcPr>
            <w:tcW w:w="371"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POE交换机</w:t>
            </w:r>
          </w:p>
        </w:tc>
        <w:tc>
          <w:tcPr>
            <w:tcW w:w="354"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w:t>
            </w:r>
          </w:p>
        </w:tc>
        <w:tc>
          <w:tcPr>
            <w:tcW w:w="353" w:type="pct"/>
            <w:vMerge w:val="restar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top"/>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▲1.交换容量≥520Gbps，包转发率≥170Mpps；“（若官网出现A/B值，以A值为准）”；</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292" w:type="pct"/>
            <w:vMerge w:val="continue"/>
            <w:tcBorders>
              <w:left w:val="single" w:color="auto" w:sz="4" w:space="0"/>
              <w:right w:val="single" w:color="auto" w:sz="4" w:space="0"/>
            </w:tcBorders>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37"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54"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35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pP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pPr>
            <w:r>
              <w:rPr>
                <w:rFonts w:hint="eastAsia" w:cs="仿宋_GB2312"/>
                <w:kern w:val="0"/>
                <w:sz w:val="21"/>
                <w:szCs w:val="21"/>
                <w:lang w:val="en-US" w:eastAsia="zh-CN"/>
              </w:rPr>
              <w:t>加分值权重 □</w:t>
            </w:r>
          </w:p>
        </w:tc>
        <w:tc>
          <w:tcPr>
            <w:tcW w:w="1542" w:type="pct"/>
            <w:noWrap w:val="0"/>
            <w:vAlign w:val="top"/>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★2.下行支持千兆电口≥24个，上行万兆光接口≥4个，支持快速POE功能；配置2个万兆单模光模块；</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292" w:type="pct"/>
            <w:vMerge w:val="continue"/>
            <w:tcBorders>
              <w:left w:val="single" w:color="auto" w:sz="4" w:space="0"/>
              <w:bottom w:val="single" w:color="auto" w:sz="4" w:space="0"/>
              <w:right w:val="single" w:color="auto" w:sz="4" w:space="0"/>
            </w:tcBorders>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c>
          <w:tcPr>
            <w:tcW w:w="337"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c>
          <w:tcPr>
            <w:tcW w:w="371"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c>
          <w:tcPr>
            <w:tcW w:w="354"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c>
          <w:tcPr>
            <w:tcW w:w="35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top"/>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3.支持2个专用堆叠口，不占用上行和下行端口；</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4.支持4K个VLAN，支持Voice VLAN，基于端口的VLAN，基于MAC的VLAN，基于协议的VLAN，支持1:1和N:1VLAN Mapping 功能；</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5.支持RIP、RIPng、OSPF、OSPFv3路由协议；</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6.支持能效以太网EEE节能环保；</w:t>
            </w:r>
          </w:p>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7.要求所投产品（如CPU芯片）为国产自主可控芯片。</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tcBorders>
              <w:top w:val="single" w:color="auto" w:sz="4" w:space="0"/>
              <w:left w:val="single" w:color="auto" w:sz="4" w:space="0"/>
              <w:bottom w:val="single" w:color="auto" w:sz="4" w:space="0"/>
              <w:right w:val="single" w:color="auto" w:sz="4" w:space="0"/>
            </w:tcBorders>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18</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万兆光模块</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光模块-SFP+-10G-单模模块(1310nm,10km,LC)</w:t>
            </w:r>
          </w:p>
        </w:tc>
        <w:tc>
          <w:tcPr>
            <w:tcW w:w="443"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292" w:type="pct"/>
            <w:tcBorders>
              <w:top w:val="single" w:color="auto" w:sz="4" w:space="0"/>
              <w:left w:val="single" w:color="auto" w:sz="4" w:space="0"/>
              <w:bottom w:val="single" w:color="auto" w:sz="4" w:space="0"/>
              <w:right w:val="single" w:color="auto" w:sz="4" w:space="0"/>
            </w:tcBorders>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19</w:t>
            </w:r>
          </w:p>
        </w:tc>
        <w:tc>
          <w:tcPr>
            <w:tcW w:w="337"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功能要求</w:t>
            </w:r>
          </w:p>
        </w:tc>
        <w:tc>
          <w:tcPr>
            <w:tcW w:w="371"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线路敷设及设备安装</w:t>
            </w:r>
          </w:p>
        </w:tc>
        <w:tc>
          <w:tcPr>
            <w:tcW w:w="354"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default" w:cs="仿宋_GB2312"/>
                <w:kern w:val="0"/>
                <w:sz w:val="21"/>
                <w:szCs w:val="21"/>
                <w:lang w:val="en-US" w:eastAsia="zh-CN"/>
              </w:rPr>
            </w:pPr>
            <w:r>
              <w:rPr>
                <w:rFonts w:hint="eastAsia" w:cs="仿宋_GB2312"/>
                <w:kern w:val="0"/>
                <w:sz w:val="21"/>
                <w:szCs w:val="21"/>
                <w:lang w:val="en-US" w:eastAsia="zh-CN"/>
              </w:rPr>
              <w:t>/</w:t>
            </w:r>
          </w:p>
        </w:tc>
        <w:tc>
          <w:tcPr>
            <w:tcW w:w="35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w:t>
            </w:r>
          </w:p>
        </w:tc>
        <w:tc>
          <w:tcPr>
            <w:tcW w:w="87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强制要求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评分因素   ☑</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建议作为重要</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指标，适当增</w:t>
            </w:r>
          </w:p>
          <w:p>
            <w:pPr>
              <w:widowControl/>
              <w:pBdr>
                <w:top w:val="none" w:color="auto" w:sz="0" w:space="1"/>
                <w:left w:val="none" w:color="auto" w:sz="0" w:space="4"/>
                <w:bottom w:val="none" w:color="auto" w:sz="0" w:space="1"/>
                <w:right w:val="none" w:color="auto" w:sz="0" w:space="4"/>
              </w:pBdr>
              <w:spacing w:line="320" w:lineRule="exact"/>
              <w:ind w:firstLine="0" w:firstLineChars="0"/>
              <w:jc w:val="center"/>
              <w:rPr>
                <w:rFonts w:hint="eastAsia" w:cs="仿宋_GB2312"/>
                <w:kern w:val="0"/>
                <w:sz w:val="21"/>
                <w:szCs w:val="21"/>
                <w:lang w:val="en-US" w:eastAsia="zh-CN"/>
              </w:rPr>
            </w:pPr>
            <w:r>
              <w:rPr>
                <w:rFonts w:hint="eastAsia" w:cs="仿宋_GB2312"/>
                <w:kern w:val="0"/>
                <w:sz w:val="21"/>
                <w:szCs w:val="21"/>
                <w:lang w:val="en-US" w:eastAsia="zh-CN"/>
              </w:rPr>
              <w:t>加分值权重 □</w:t>
            </w:r>
          </w:p>
        </w:tc>
        <w:tc>
          <w:tcPr>
            <w:tcW w:w="1542"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both"/>
              <w:rPr>
                <w:rFonts w:hint="eastAsia" w:cs="仿宋_GB2312"/>
                <w:kern w:val="0"/>
                <w:sz w:val="21"/>
                <w:szCs w:val="21"/>
                <w:lang w:val="en-US" w:eastAsia="zh-CN"/>
              </w:rPr>
            </w:pPr>
            <w:r>
              <w:rPr>
                <w:rFonts w:hint="eastAsia" w:cs="仿宋_GB2312"/>
                <w:kern w:val="0"/>
                <w:sz w:val="21"/>
                <w:szCs w:val="21"/>
                <w:lang w:val="en-US" w:eastAsia="zh-CN"/>
              </w:rPr>
              <w:t>线路敷设及相关辅材、设备安装调试</w:t>
            </w:r>
          </w:p>
        </w:tc>
        <w:tc>
          <w:tcPr>
            <w:tcW w:w="443" w:type="pct"/>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cs="仿宋_GB2312"/>
                <w:kern w:val="0"/>
                <w:sz w:val="21"/>
                <w:szCs w:val="21"/>
                <w:lang w:val="en-US" w:eastAsia="zh-CN"/>
              </w:rPr>
            </w:pPr>
            <w:r>
              <w:rPr>
                <w:rFonts w:hint="eastAsia" w:cs="仿宋_GB2312"/>
                <w:kern w:val="0"/>
                <w:sz w:val="21"/>
                <w:szCs w:val="21"/>
                <w:lang w:val="en-US" w:eastAsia="zh-CN"/>
              </w:rPr>
              <w:t>根据指标要求进行评审，支持的项越多，线路敷设及设备安装服务越强。</w:t>
            </w:r>
          </w:p>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c>
          <w:tcPr>
            <w:tcW w:w="432" w:type="pct"/>
            <w:vMerge w:val="continue"/>
            <w:noWrap w:val="0"/>
            <w:vAlign w:val="center"/>
          </w:tcPr>
          <w:p>
            <w:pPr>
              <w:widowControl/>
              <w:pBdr>
                <w:top w:val="none" w:color="auto" w:sz="0" w:space="1"/>
                <w:left w:val="none" w:color="auto" w:sz="0" w:space="4"/>
                <w:bottom w:val="none" w:color="auto" w:sz="0" w:space="1"/>
                <w:right w:val="none" w:color="auto" w:sz="0" w:space="4"/>
              </w:pBdr>
              <w:spacing w:line="320" w:lineRule="exact"/>
              <w:ind w:firstLine="0" w:firstLineChars="0"/>
              <w:jc w:val="left"/>
              <w:rPr>
                <w:rFonts w:hint="eastAsia" w:ascii="仿宋_GB2312" w:hAnsi="仿宋_GB2312" w:eastAsia="仿宋_GB2312" w:cs="仿宋_GB2312"/>
                <w:kern w:val="0"/>
                <w:sz w:val="21"/>
                <w:szCs w:val="21"/>
                <w:lang w:eastAsia="zh-CN"/>
              </w:rPr>
            </w:pPr>
          </w:p>
        </w:tc>
      </w:tr>
    </w:tbl>
    <w:p>
      <w:pPr>
        <w:rPr>
          <w:rFonts w:hint="default"/>
          <w:lang w:val="en-US" w:eastAsia="zh-CN"/>
        </w:rPr>
      </w:pPr>
    </w:p>
    <w:p>
      <w:pPr>
        <w:pStyle w:val="2"/>
        <w:numPr>
          <w:ilvl w:val="0"/>
          <w:numId w:val="3"/>
        </w:numPr>
        <w:ind w:firstLine="640"/>
        <w:rPr>
          <w:rFonts w:hint="default"/>
          <w:highlight w:val="none"/>
          <w:lang w:val="en-US" w:eastAsia="zh-CN"/>
        </w:rPr>
      </w:pPr>
      <w:r>
        <w:rPr>
          <w:rFonts w:hint="eastAsia"/>
          <w:highlight w:val="none"/>
          <w:lang w:val="en-US" w:eastAsia="zh-CN"/>
        </w:rPr>
        <w:t>验收标准及方法</w:t>
      </w:r>
    </w:p>
    <w:p>
      <w:pPr>
        <w:spacing w:line="560" w:lineRule="exact"/>
        <w:ind w:firstLine="640" w:firstLineChars="200"/>
        <w:rPr>
          <w:rFonts w:ascii="仿宋_GB2312" w:hAnsi="宋体" w:eastAsia="仿宋_GB2312" w:cs="Times New Roman"/>
          <w:kern w:val="0"/>
          <w:sz w:val="32"/>
          <w:szCs w:val="32"/>
          <w:highlight w:val="none"/>
        </w:rPr>
      </w:pPr>
      <w:r>
        <w:rPr>
          <w:rFonts w:ascii="仿宋_GB2312" w:hAnsi="宋体" w:eastAsia="仿宋_GB2312" w:cs="Times New Roman"/>
          <w:kern w:val="0"/>
          <w:sz w:val="32"/>
          <w:szCs w:val="32"/>
          <w:highlight w:val="none"/>
        </w:rPr>
        <w:t>（</w:t>
      </w:r>
      <w:r>
        <w:rPr>
          <w:rFonts w:hint="eastAsia" w:ascii="仿宋_GB2312" w:hAnsi="宋体" w:eastAsia="仿宋_GB2312" w:cs="Times New Roman"/>
          <w:kern w:val="0"/>
          <w:sz w:val="32"/>
          <w:szCs w:val="32"/>
          <w:highlight w:val="none"/>
        </w:rPr>
        <w:t>1</w:t>
      </w:r>
      <w:r>
        <w:rPr>
          <w:rFonts w:ascii="仿宋_GB2312" w:hAnsi="宋体" w:eastAsia="仿宋_GB2312" w:cs="Times New Roman"/>
          <w:kern w:val="0"/>
          <w:sz w:val="32"/>
          <w:szCs w:val="32"/>
          <w:highlight w:val="none"/>
        </w:rPr>
        <w:t>）供货方应在设备出厂前提供出厂检验项目指标测试程序和检验方法，供需求方参考。</w:t>
      </w:r>
    </w:p>
    <w:p>
      <w:pPr>
        <w:spacing w:line="560" w:lineRule="exact"/>
        <w:ind w:firstLine="640" w:firstLineChars="200"/>
        <w:rPr>
          <w:rFonts w:ascii="仿宋_GB2312" w:hAnsi="宋体" w:eastAsia="仿宋_GB2312" w:cs="Times New Roman"/>
          <w:kern w:val="0"/>
          <w:sz w:val="32"/>
          <w:szCs w:val="32"/>
          <w:highlight w:val="none"/>
        </w:rPr>
      </w:pPr>
      <w:r>
        <w:rPr>
          <w:rFonts w:ascii="仿宋_GB2312" w:hAnsi="宋体" w:eastAsia="仿宋_GB2312" w:cs="Times New Roman"/>
          <w:kern w:val="0"/>
          <w:sz w:val="32"/>
          <w:szCs w:val="32"/>
          <w:highlight w:val="none"/>
        </w:rPr>
        <w:t>（</w:t>
      </w:r>
      <w:r>
        <w:rPr>
          <w:rFonts w:hint="eastAsia" w:ascii="仿宋_GB2312" w:hAnsi="宋体" w:eastAsia="仿宋_GB2312" w:cs="Times New Roman"/>
          <w:kern w:val="0"/>
          <w:sz w:val="32"/>
          <w:szCs w:val="32"/>
          <w:highlight w:val="none"/>
        </w:rPr>
        <w:t>2</w:t>
      </w:r>
      <w:r>
        <w:rPr>
          <w:rFonts w:ascii="仿宋_GB2312" w:hAnsi="宋体" w:eastAsia="仿宋_GB2312" w:cs="Times New Roman"/>
          <w:kern w:val="0"/>
          <w:sz w:val="32"/>
          <w:szCs w:val="32"/>
          <w:highlight w:val="none"/>
        </w:rPr>
        <w:t>）设备运抵安装现场后，需求方将与供货方共同开箱验收，如供货方届时不派人到场，则验收结果应以需求方和当地商检人员的验收报告为最终验收结果。验收时发现短缺、破损，需求方有权要求投标方立即补发和负责更换。</w:t>
      </w:r>
    </w:p>
    <w:p>
      <w:pPr>
        <w:spacing w:line="560" w:lineRule="exact"/>
        <w:ind w:firstLine="640" w:firstLineChars="200"/>
        <w:rPr>
          <w:rFonts w:ascii="仿宋_GB2312" w:hAnsi="宋体" w:eastAsia="仿宋_GB2312" w:cs="Times New Roman"/>
          <w:kern w:val="0"/>
          <w:sz w:val="32"/>
          <w:szCs w:val="32"/>
          <w:highlight w:val="none"/>
        </w:rPr>
      </w:pPr>
      <w:r>
        <w:rPr>
          <w:rFonts w:ascii="仿宋_GB2312" w:hAnsi="宋体" w:eastAsia="仿宋_GB2312" w:cs="Times New Roman"/>
          <w:kern w:val="0"/>
          <w:sz w:val="32"/>
          <w:szCs w:val="32"/>
          <w:highlight w:val="none"/>
        </w:rPr>
        <w:t>（</w:t>
      </w:r>
      <w:r>
        <w:rPr>
          <w:rFonts w:hint="eastAsia" w:ascii="仿宋_GB2312" w:hAnsi="宋体" w:eastAsia="仿宋_GB2312" w:cs="Times New Roman"/>
          <w:kern w:val="0"/>
          <w:sz w:val="32"/>
          <w:szCs w:val="32"/>
          <w:highlight w:val="none"/>
        </w:rPr>
        <w:t>3</w:t>
      </w:r>
      <w:r>
        <w:rPr>
          <w:rFonts w:ascii="仿宋_GB2312" w:hAnsi="宋体" w:eastAsia="仿宋_GB2312" w:cs="Times New Roman"/>
          <w:kern w:val="0"/>
          <w:sz w:val="32"/>
          <w:szCs w:val="32"/>
          <w:highlight w:val="none"/>
        </w:rPr>
        <w:t>）设备安装、调试达到技术规范书规定的指标后，可进行验收测试(初验)。验收规范(包括项目、指标、方式和测试仪器等)应由供货方提前一个月提交给需求方。需求方可根据合同以及需求方的有关规定进行修改和补充，经双方确认后形成验收文件作为验收依据。验收测试合格后，双方签署初验合格协议，设备进入试运行期。</w:t>
      </w:r>
    </w:p>
    <w:p>
      <w:pPr>
        <w:rPr>
          <w:rFonts w:hint="default"/>
          <w:highlight w:val="none"/>
          <w:lang w:val="en-US" w:eastAsia="zh-CN"/>
        </w:rPr>
      </w:pPr>
      <w:r>
        <w:rPr>
          <w:rFonts w:ascii="仿宋_GB2312" w:hAnsi="宋体" w:eastAsia="仿宋_GB2312" w:cs="Times New Roman"/>
          <w:kern w:val="0"/>
          <w:sz w:val="32"/>
          <w:szCs w:val="32"/>
          <w:highlight w:val="none"/>
        </w:rPr>
        <w:t>（</w:t>
      </w:r>
      <w:r>
        <w:rPr>
          <w:rFonts w:hint="eastAsia" w:ascii="仿宋_GB2312" w:hAnsi="宋体" w:eastAsia="仿宋_GB2312" w:cs="Times New Roman"/>
          <w:kern w:val="0"/>
          <w:sz w:val="32"/>
          <w:szCs w:val="32"/>
          <w:highlight w:val="none"/>
        </w:rPr>
        <w:t>4</w:t>
      </w:r>
      <w:r>
        <w:rPr>
          <w:rFonts w:ascii="仿宋_GB2312" w:hAnsi="宋体" w:eastAsia="仿宋_GB2312" w:cs="Times New Roman"/>
          <w:kern w:val="0"/>
          <w:sz w:val="32"/>
          <w:szCs w:val="32"/>
          <w:highlight w:val="none"/>
        </w:rPr>
        <w:t>）设备经过6个月试运行期，所有性能指标达到技术规范书的要求时，可进行最终验收。在试运行期间，如硬件系统出现重大问题，则试运行期从故障修复之日起顺延3个月，若仍达不到要求，继续顺延，一直到系统连续3个月无故障时为止。在全部达到要求时，双方签署最终验收文件。且双方签署最终验收文件前，供货方应协助需求方完成综合展示系统的工程开通。</w:t>
      </w:r>
    </w:p>
    <w:p>
      <w:pPr>
        <w:pStyle w:val="2"/>
        <w:numPr>
          <w:ilvl w:val="0"/>
          <w:numId w:val="3"/>
        </w:numPr>
        <w:ind w:firstLine="640"/>
        <w:rPr>
          <w:rFonts w:hint="default"/>
          <w:highlight w:val="none"/>
          <w:lang w:val="en-US" w:eastAsia="zh-CN"/>
        </w:rPr>
      </w:pPr>
      <w:r>
        <w:rPr>
          <w:rFonts w:hint="default"/>
          <w:highlight w:val="none"/>
          <w:lang w:val="en-US" w:eastAsia="zh-CN"/>
        </w:rPr>
        <w:t>其他需要明确的技术或服务要求</w:t>
      </w:r>
    </w:p>
    <w:p>
      <w:pPr>
        <w:ind w:firstLine="640"/>
        <w:rPr>
          <w:rFonts w:hint="eastAsia"/>
        </w:rPr>
      </w:pPr>
      <w:r>
        <w:rPr>
          <w:rFonts w:hint="eastAsia"/>
          <w:lang w:val="en-US" w:eastAsia="zh-CN"/>
        </w:rPr>
        <w:t>1.</w:t>
      </w:r>
      <w:r>
        <w:rPr>
          <w:rFonts w:hint="eastAsia"/>
        </w:rPr>
        <w:t>技术支持：对</w:t>
      </w:r>
      <w:r>
        <w:rPr>
          <w:rFonts w:hint="eastAsia"/>
          <w:lang w:val="en-US" w:eastAsia="zh-CN"/>
        </w:rPr>
        <w:t>需求方</w:t>
      </w:r>
      <w:r>
        <w:rPr>
          <w:rFonts w:hint="eastAsia"/>
        </w:rPr>
        <w:t>工作人员进行相关使用培训，</w:t>
      </w:r>
      <w:r>
        <w:rPr>
          <w:rFonts w:hint="eastAsia"/>
          <w:lang w:val="en-US" w:eastAsia="zh-CN"/>
        </w:rPr>
        <w:t>质保期</w:t>
      </w:r>
      <w:r>
        <w:rPr>
          <w:rFonts w:hint="eastAsia"/>
        </w:rPr>
        <w:t>内提供</w:t>
      </w:r>
      <w:r>
        <w:rPr>
          <w:rFonts w:hint="eastAsia"/>
          <w:lang w:val="en-US" w:eastAsia="zh-CN"/>
        </w:rPr>
        <w:t>免费</w:t>
      </w:r>
      <w:r>
        <w:rPr>
          <w:rFonts w:hint="eastAsia"/>
        </w:rPr>
        <w:t>技术支持及设备维护。</w:t>
      </w:r>
    </w:p>
    <w:p>
      <w:pPr>
        <w:ind w:firstLine="640"/>
        <w:rPr>
          <w:rFonts w:hint="eastAsia"/>
        </w:rPr>
      </w:pPr>
      <w:r>
        <w:rPr>
          <w:rFonts w:hint="eastAsia"/>
          <w:lang w:val="en-US" w:eastAsia="zh-CN"/>
        </w:rPr>
        <w:t>2.</w:t>
      </w:r>
      <w:r>
        <w:rPr>
          <w:rFonts w:hint="eastAsia"/>
        </w:rPr>
        <w:t>符合军队、教育部、重庆市及大学相关技术标准规范。</w:t>
      </w:r>
    </w:p>
    <w:p>
      <w:pPr>
        <w:ind w:firstLine="640"/>
      </w:pPr>
      <w:r>
        <w:rPr>
          <w:rFonts w:hint="eastAsia"/>
          <w:lang w:val="en-US" w:eastAsia="zh-CN"/>
        </w:rPr>
        <w:t>3.</w:t>
      </w:r>
      <w:r>
        <w:rPr>
          <w:rFonts w:hint="eastAsia"/>
        </w:rPr>
        <w:t>项目参数中的功能细节以和甲方协商为准。</w:t>
      </w:r>
    </w:p>
    <w:p>
      <w:pPr>
        <w:snapToGrid w:val="0"/>
        <w:spacing w:line="579" w:lineRule="atLeast"/>
        <w:ind w:firstLine="640" w:firstLineChars="200"/>
        <w:jc w:val="center"/>
        <w:outlineLvl w:val="0"/>
        <w:rPr>
          <w:rFonts w:hint="eastAsia" w:ascii="仿宋_GB2312" w:hAnsi="仿宋_GB2312" w:eastAsia="仿宋_GB2312" w:cs="仿宋_GB2312"/>
          <w:b/>
          <w:kern w:val="0"/>
          <w:sz w:val="32"/>
          <w:szCs w:val="32"/>
        </w:rPr>
      </w:pPr>
      <w:r>
        <w:rPr>
          <w:rFonts w:hint="eastAsia"/>
        </w:rPr>
        <w:br w:type="page"/>
      </w:r>
      <w:r>
        <w:rPr>
          <w:rFonts w:hint="eastAsia" w:eastAsia="方正小标宋简体" w:asciiTheme="majorHAnsi" w:hAnsiTheme="majorHAnsi" w:cstheme="majorBidi"/>
          <w:b w:val="0"/>
          <w:bCs w:val="0"/>
          <w:kern w:val="2"/>
          <w:sz w:val="44"/>
          <w:szCs w:val="32"/>
          <w:lang w:val="en-US" w:eastAsia="zh-CN" w:bidi="ar-SA"/>
        </w:rPr>
        <w:t>经济要求</w:t>
      </w:r>
    </w:p>
    <w:p>
      <w:pPr>
        <w:spacing w:line="579" w:lineRule="exact"/>
        <w:ind w:firstLine="643" w:firstLineChars="200"/>
        <w:outlineLvl w:val="1"/>
        <w:rPr>
          <w:rFonts w:ascii="仿宋_GB2312" w:hAnsi="黑体" w:eastAsia="仿宋_GB2312"/>
          <w:b/>
          <w:color w:val="000000"/>
          <w:sz w:val="32"/>
          <w:szCs w:val="32"/>
        </w:rPr>
      </w:pPr>
      <w:r>
        <w:rPr>
          <w:rFonts w:hint="eastAsia" w:ascii="仿宋_GB2312" w:hAnsi="黑体" w:eastAsia="仿宋_GB2312"/>
          <w:b/>
          <w:color w:val="000000"/>
          <w:sz w:val="32"/>
          <w:szCs w:val="32"/>
        </w:rPr>
        <w:t>（一）预算安排</w:t>
      </w:r>
    </w:p>
    <w:p>
      <w:pPr>
        <w:spacing w:line="579"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预算金额：561万元</w:t>
      </w:r>
    </w:p>
    <w:p>
      <w:pPr>
        <w:spacing w:line="579" w:lineRule="exact"/>
        <w:ind w:firstLine="643" w:firstLineChars="200"/>
        <w:outlineLvl w:val="1"/>
        <w:rPr>
          <w:rFonts w:ascii="仿宋_GB2312" w:hAnsi="黑体" w:eastAsia="仿宋_GB2312"/>
          <w:b/>
          <w:color w:val="000000"/>
          <w:sz w:val="32"/>
          <w:szCs w:val="32"/>
        </w:rPr>
      </w:pPr>
      <w:r>
        <w:rPr>
          <w:rFonts w:hint="eastAsia" w:ascii="仿宋_GB2312" w:hAnsi="黑体" w:eastAsia="仿宋_GB2312"/>
          <w:b/>
          <w:color w:val="000000"/>
          <w:sz w:val="32"/>
          <w:szCs w:val="32"/>
        </w:rPr>
        <w:t>（二）标的数量</w:t>
      </w:r>
    </w:p>
    <w:p>
      <w:pPr>
        <w:spacing w:line="579" w:lineRule="exact"/>
        <w:ind w:firstLine="640" w:firstLineChars="200"/>
        <w:rPr>
          <w:rFonts w:hint="eastAsia" w:ascii="仿宋_GB2312" w:hAnsi="黑体" w:eastAsia="仿宋_GB2312"/>
          <w:color w:val="000000"/>
          <w:sz w:val="32"/>
          <w:szCs w:val="32"/>
        </w:rPr>
      </w:pPr>
      <w:r>
        <w:rPr>
          <w:rFonts w:hint="eastAsia" w:ascii="仿宋_GB2312" w:hAnsi="黑体" w:eastAsia="仿宋_GB2312"/>
          <w:color w:val="000000"/>
          <w:sz w:val="32"/>
          <w:szCs w:val="32"/>
        </w:rPr>
        <w:t>1、5G专网标的数量</w:t>
      </w:r>
    </w:p>
    <w:tbl>
      <w:tblPr>
        <w:tblStyle w:val="1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0"/>
        <w:gridCol w:w="2774"/>
        <w:gridCol w:w="2830"/>
        <w:gridCol w:w="1336"/>
        <w:gridCol w:w="14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2"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21"/>
                <w:szCs w:val="21"/>
                <w:lang w:eastAsia="zh-Hans"/>
              </w:rPr>
            </w:pPr>
            <w:r>
              <w:rPr>
                <w:rFonts w:hint="eastAsia" w:ascii="黑体" w:hAnsi="黑体" w:eastAsia="黑体" w:cs="黑体"/>
                <w:sz w:val="21"/>
                <w:szCs w:val="21"/>
                <w:lang w:eastAsia="zh-Hans"/>
              </w:rPr>
              <w:t>序号</w:t>
            </w:r>
          </w:p>
        </w:tc>
        <w:tc>
          <w:tcPr>
            <w:tcW w:w="1530"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21"/>
                <w:szCs w:val="21"/>
                <w:lang w:eastAsia="zh-Hans"/>
              </w:rPr>
            </w:pPr>
            <w:r>
              <w:rPr>
                <w:rFonts w:hint="eastAsia" w:ascii="黑体" w:hAnsi="黑体" w:eastAsia="黑体" w:cs="黑体"/>
                <w:sz w:val="21"/>
                <w:szCs w:val="21"/>
                <w:lang w:eastAsia="zh-Hans"/>
              </w:rPr>
              <w:t>货物名称</w:t>
            </w:r>
          </w:p>
        </w:tc>
        <w:tc>
          <w:tcPr>
            <w:tcW w:w="1561"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color w:val="000000"/>
                <w:sz w:val="21"/>
                <w:szCs w:val="21"/>
                <w:lang w:eastAsia="zh-Hans"/>
              </w:rPr>
            </w:pPr>
            <w:r>
              <w:rPr>
                <w:rFonts w:hint="eastAsia" w:ascii="黑体" w:hAnsi="黑体" w:eastAsia="黑体" w:cs="黑体"/>
                <w:color w:val="000000"/>
                <w:sz w:val="21"/>
                <w:szCs w:val="21"/>
                <w:lang w:eastAsia="zh-Hans"/>
              </w:rPr>
              <w:t>规格与型号</w:t>
            </w:r>
          </w:p>
        </w:tc>
        <w:tc>
          <w:tcPr>
            <w:tcW w:w="737"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color w:val="000000"/>
                <w:sz w:val="21"/>
                <w:szCs w:val="21"/>
                <w:lang w:eastAsia="zh-Hans"/>
              </w:rPr>
            </w:pPr>
            <w:r>
              <w:rPr>
                <w:rFonts w:hint="eastAsia" w:ascii="黑体" w:hAnsi="黑体" w:eastAsia="黑体" w:cs="黑体"/>
                <w:color w:val="000000"/>
                <w:sz w:val="21"/>
                <w:szCs w:val="21"/>
                <w:lang w:eastAsia="zh-Hans"/>
              </w:rPr>
              <w:t>单位</w:t>
            </w:r>
          </w:p>
        </w:tc>
        <w:tc>
          <w:tcPr>
            <w:tcW w:w="778"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color w:val="000000"/>
                <w:sz w:val="21"/>
                <w:szCs w:val="21"/>
                <w:lang w:eastAsia="zh-Hans"/>
              </w:rPr>
            </w:pPr>
            <w:r>
              <w:rPr>
                <w:rFonts w:hint="eastAsia" w:ascii="黑体" w:hAnsi="黑体" w:eastAsia="黑体" w:cs="黑体"/>
                <w:color w:val="000000"/>
                <w:sz w:val="21"/>
                <w:szCs w:val="21"/>
                <w:lang w:eastAsia="zh-Hans"/>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2"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sz w:val="21"/>
                <w:szCs w:val="21"/>
              </w:rPr>
            </w:pPr>
            <w:r>
              <w:rPr>
                <w:rFonts w:ascii="Times New Roman" w:hAnsi="Times New Roman" w:eastAsia="宋体" w:cs="Times New Roman"/>
                <w:sz w:val="21"/>
                <w:szCs w:val="21"/>
              </w:rPr>
              <w:t>1</w:t>
            </w:r>
          </w:p>
        </w:tc>
        <w:tc>
          <w:tcPr>
            <w:tcW w:w="1530"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center"/>
              <w:textAlignment w:val="center"/>
              <w:rPr>
                <w:rFonts w:hint="eastAsia" w:ascii="宋体" w:hAnsi="宋体" w:eastAsia="宋体" w:cs="宋体"/>
                <w:color w:val="000000"/>
                <w:kern w:val="0"/>
                <w:sz w:val="20"/>
                <w:szCs w:val="20"/>
                <w:lang w:val="en-US" w:eastAsia="zh-Hans" w:bidi="ar"/>
              </w:rPr>
            </w:pPr>
            <w:r>
              <w:rPr>
                <w:rFonts w:hint="eastAsia" w:ascii="宋体" w:hAnsi="宋体" w:eastAsia="宋体" w:cs="宋体"/>
                <w:color w:val="000000"/>
                <w:kern w:val="0"/>
                <w:sz w:val="20"/>
                <w:szCs w:val="20"/>
                <w:lang w:bidi="ar"/>
              </w:rPr>
              <w:t>5G核心网</w:t>
            </w:r>
          </w:p>
        </w:tc>
        <w:tc>
          <w:tcPr>
            <w:tcW w:w="1561" w:type="pct"/>
            <w:vMerge w:val="restar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宋体" w:cs="Times New Roman"/>
                <w:color w:val="000000"/>
                <w:sz w:val="21"/>
                <w:szCs w:val="21"/>
                <w:lang w:val="en-US" w:eastAsia="zh-CN"/>
              </w:rPr>
            </w:pPr>
            <w:r>
              <w:rPr>
                <w:rFonts w:hint="eastAsia" w:ascii="Times New Roman" w:hAnsi="Times New Roman" w:eastAsia="宋体" w:cs="Times New Roman"/>
                <w:color w:val="000000"/>
                <w:sz w:val="21"/>
                <w:szCs w:val="21"/>
                <w:lang w:val="en-US" w:eastAsia="zh-CN"/>
              </w:rPr>
              <w:t>见附件1技术要求</w:t>
            </w:r>
          </w:p>
        </w:tc>
        <w:tc>
          <w:tcPr>
            <w:tcW w:w="737"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套</w:t>
            </w:r>
          </w:p>
        </w:tc>
        <w:tc>
          <w:tcPr>
            <w:tcW w:w="778"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2"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2</w:t>
            </w:r>
          </w:p>
        </w:tc>
        <w:tc>
          <w:tcPr>
            <w:tcW w:w="1530"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专网管理平台</w:t>
            </w:r>
          </w:p>
        </w:tc>
        <w:tc>
          <w:tcPr>
            <w:tcW w:w="1561" w:type="pct"/>
            <w:vMerge w:val="continue"/>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套</w:t>
            </w:r>
          </w:p>
        </w:tc>
        <w:tc>
          <w:tcPr>
            <w:tcW w:w="778"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3</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算法服务器</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套</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4</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服务器</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台</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5</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千兆防火墙</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台</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6</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入侵检测设备</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台</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7</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交换机</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套</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8</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加密SIM卡</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张</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9</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无线基站</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套</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10</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线路敷设</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项</w:t>
            </w:r>
          </w:p>
        </w:tc>
        <w:tc>
          <w:tcPr>
            <w:tcW w:w="77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11</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系统集成服务</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项</w:t>
            </w:r>
          </w:p>
        </w:tc>
        <w:tc>
          <w:tcPr>
            <w:tcW w:w="77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w:t>
            </w:r>
          </w:p>
        </w:tc>
      </w:tr>
    </w:tbl>
    <w:p>
      <w:pPr>
        <w:spacing w:line="579" w:lineRule="exact"/>
        <w:ind w:firstLine="640" w:firstLineChars="200"/>
        <w:rPr>
          <w:rFonts w:hint="eastAsia" w:ascii="仿宋_GB2312" w:hAnsi="黑体" w:eastAsia="仿宋_GB2312"/>
          <w:color w:val="000000"/>
          <w:sz w:val="32"/>
          <w:szCs w:val="32"/>
          <w:lang w:val="en-US" w:eastAsia="zh-CN"/>
        </w:rPr>
      </w:pPr>
    </w:p>
    <w:p>
      <w:pPr>
        <w:spacing w:line="579" w:lineRule="exact"/>
        <w:ind w:firstLine="640" w:firstLineChars="200"/>
        <w:rPr>
          <w:rFonts w:hint="eastAsia" w:ascii="仿宋_GB2312" w:hAnsi="黑体" w:eastAsia="仿宋_GB2312"/>
          <w:color w:val="000000"/>
          <w:sz w:val="32"/>
          <w:szCs w:val="32"/>
        </w:rPr>
      </w:pPr>
      <w:r>
        <w:rPr>
          <w:rFonts w:hint="eastAsia" w:ascii="仿宋_GB2312" w:hAnsi="黑体" w:eastAsia="仿宋_GB2312"/>
          <w:color w:val="000000"/>
          <w:sz w:val="32"/>
          <w:szCs w:val="32"/>
          <w:lang w:val="en-US" w:eastAsia="zh-CN"/>
        </w:rPr>
        <w:t>2、</w:t>
      </w:r>
      <w:r>
        <w:rPr>
          <w:rFonts w:hint="eastAsia" w:ascii="仿宋_GB2312" w:hAnsi="黑体" w:eastAsia="仿宋_GB2312"/>
          <w:color w:val="000000"/>
          <w:sz w:val="32"/>
          <w:szCs w:val="32"/>
        </w:rPr>
        <w:t>wifi6 标的数量</w:t>
      </w:r>
    </w:p>
    <w:tbl>
      <w:tblPr>
        <w:tblStyle w:val="1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0"/>
        <w:gridCol w:w="2774"/>
        <w:gridCol w:w="2830"/>
        <w:gridCol w:w="1336"/>
        <w:gridCol w:w="14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2"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21"/>
                <w:szCs w:val="21"/>
                <w:lang w:eastAsia="zh-Hans"/>
              </w:rPr>
            </w:pPr>
            <w:r>
              <w:rPr>
                <w:rFonts w:hint="eastAsia" w:ascii="黑体" w:hAnsi="黑体" w:eastAsia="黑体" w:cs="黑体"/>
                <w:sz w:val="21"/>
                <w:szCs w:val="21"/>
                <w:lang w:eastAsia="zh-Hans"/>
              </w:rPr>
              <w:t>序号</w:t>
            </w:r>
          </w:p>
        </w:tc>
        <w:tc>
          <w:tcPr>
            <w:tcW w:w="1530"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sz w:val="21"/>
                <w:szCs w:val="21"/>
                <w:lang w:eastAsia="zh-Hans"/>
              </w:rPr>
            </w:pPr>
            <w:r>
              <w:rPr>
                <w:rFonts w:hint="eastAsia" w:ascii="黑体" w:hAnsi="黑体" w:eastAsia="黑体" w:cs="黑体"/>
                <w:sz w:val="21"/>
                <w:szCs w:val="21"/>
                <w:lang w:eastAsia="zh-Hans"/>
              </w:rPr>
              <w:t>货物名称</w:t>
            </w:r>
          </w:p>
        </w:tc>
        <w:tc>
          <w:tcPr>
            <w:tcW w:w="1561"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color w:val="000000"/>
                <w:sz w:val="21"/>
                <w:szCs w:val="21"/>
                <w:lang w:eastAsia="zh-Hans"/>
              </w:rPr>
            </w:pPr>
            <w:r>
              <w:rPr>
                <w:rFonts w:hint="eastAsia" w:ascii="黑体" w:hAnsi="黑体" w:eastAsia="黑体" w:cs="黑体"/>
                <w:color w:val="000000"/>
                <w:sz w:val="21"/>
                <w:szCs w:val="21"/>
                <w:lang w:eastAsia="zh-Hans"/>
              </w:rPr>
              <w:t>规格与型号</w:t>
            </w:r>
          </w:p>
        </w:tc>
        <w:tc>
          <w:tcPr>
            <w:tcW w:w="737"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color w:val="000000"/>
                <w:sz w:val="21"/>
                <w:szCs w:val="21"/>
                <w:lang w:eastAsia="zh-Hans"/>
              </w:rPr>
            </w:pPr>
            <w:r>
              <w:rPr>
                <w:rFonts w:hint="eastAsia" w:ascii="黑体" w:hAnsi="黑体" w:eastAsia="黑体" w:cs="黑体"/>
                <w:color w:val="000000"/>
                <w:sz w:val="21"/>
                <w:szCs w:val="21"/>
                <w:lang w:eastAsia="zh-Hans"/>
              </w:rPr>
              <w:t>单位</w:t>
            </w:r>
          </w:p>
        </w:tc>
        <w:tc>
          <w:tcPr>
            <w:tcW w:w="778"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黑体" w:hAnsi="黑体" w:eastAsia="黑体" w:cs="黑体"/>
                <w:color w:val="000000"/>
                <w:sz w:val="21"/>
                <w:szCs w:val="21"/>
                <w:lang w:eastAsia="zh-Hans"/>
              </w:rPr>
            </w:pPr>
            <w:r>
              <w:rPr>
                <w:rFonts w:hint="eastAsia" w:ascii="黑体" w:hAnsi="黑体" w:eastAsia="黑体" w:cs="黑体"/>
                <w:color w:val="000000"/>
                <w:sz w:val="21"/>
                <w:szCs w:val="21"/>
                <w:lang w:eastAsia="zh-Hans"/>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2"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sz w:val="21"/>
                <w:szCs w:val="21"/>
              </w:rPr>
            </w:pPr>
            <w:r>
              <w:rPr>
                <w:rFonts w:ascii="Times New Roman" w:hAnsi="Times New Roman" w:eastAsia="宋体" w:cs="Times New Roman"/>
                <w:sz w:val="21"/>
                <w:szCs w:val="21"/>
              </w:rPr>
              <w:t>1</w:t>
            </w:r>
          </w:p>
        </w:tc>
        <w:tc>
          <w:tcPr>
            <w:tcW w:w="1530"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Hans" w:bidi="ar"/>
              </w:rPr>
            </w:pPr>
            <w:r>
              <w:rPr>
                <w:rFonts w:hint="eastAsia" w:ascii="宋体" w:hAnsi="宋体" w:eastAsia="宋体" w:cs="宋体"/>
                <w:color w:val="000000"/>
                <w:kern w:val="0"/>
                <w:sz w:val="20"/>
                <w:szCs w:val="20"/>
                <w:lang w:bidi="ar"/>
              </w:rPr>
              <w:t>放装AP</w:t>
            </w:r>
          </w:p>
        </w:tc>
        <w:tc>
          <w:tcPr>
            <w:tcW w:w="1561" w:type="pct"/>
            <w:vMerge w:val="restar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宋体" w:cs="Times New Roman"/>
                <w:color w:val="000000"/>
                <w:sz w:val="21"/>
                <w:szCs w:val="21"/>
                <w:lang w:val="en-US" w:eastAsia="zh-CN"/>
              </w:rPr>
            </w:pPr>
            <w:r>
              <w:rPr>
                <w:rFonts w:hint="eastAsia" w:ascii="Times New Roman" w:hAnsi="Times New Roman" w:eastAsia="宋体" w:cs="Times New Roman"/>
                <w:color w:val="000000"/>
                <w:sz w:val="21"/>
                <w:szCs w:val="21"/>
                <w:lang w:val="en-US" w:eastAsia="zh-CN"/>
              </w:rPr>
              <w:t>见附件1技术要求</w:t>
            </w:r>
          </w:p>
        </w:tc>
        <w:tc>
          <w:tcPr>
            <w:tcW w:w="737"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套</w:t>
            </w:r>
          </w:p>
        </w:tc>
        <w:tc>
          <w:tcPr>
            <w:tcW w:w="778"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2"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2</w:t>
            </w:r>
          </w:p>
        </w:tc>
        <w:tc>
          <w:tcPr>
            <w:tcW w:w="1530"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高密放装AP</w:t>
            </w:r>
          </w:p>
        </w:tc>
        <w:tc>
          <w:tcPr>
            <w:tcW w:w="1561" w:type="pct"/>
            <w:vMerge w:val="continue"/>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套</w:t>
            </w:r>
          </w:p>
        </w:tc>
        <w:tc>
          <w:tcPr>
            <w:tcW w:w="778"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3</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面板AP</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套</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481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4</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无线控制器</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台</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5</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POE交换机</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台</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6</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万兆光模块</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个</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7</w:t>
            </w:r>
          </w:p>
        </w:tc>
        <w:tc>
          <w:tcPr>
            <w:tcW w:w="1530"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bidi="ar"/>
              </w:rPr>
              <w:t>线路敷设</w:t>
            </w:r>
            <w:r>
              <w:rPr>
                <w:rFonts w:hint="eastAsia" w:ascii="宋体" w:hAnsi="宋体" w:eastAsia="宋体" w:cs="宋体"/>
                <w:color w:val="000000"/>
                <w:kern w:val="0"/>
                <w:sz w:val="20"/>
                <w:szCs w:val="20"/>
                <w:lang w:val="en-US" w:eastAsia="zh-CN" w:bidi="ar"/>
              </w:rPr>
              <w:t>及设备安装</w:t>
            </w:r>
          </w:p>
        </w:tc>
        <w:tc>
          <w:tcPr>
            <w:tcW w:w="1561" w:type="pct"/>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ascii="Times New Roman" w:hAnsi="Times New Roman" w:eastAsia="宋体" w:cs="Times New Roman"/>
                <w:color w:val="000000"/>
                <w:sz w:val="21"/>
                <w:szCs w:val="21"/>
              </w:rPr>
            </w:pPr>
          </w:p>
        </w:tc>
        <w:tc>
          <w:tcPr>
            <w:tcW w:w="737"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项</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1</w:t>
            </w:r>
          </w:p>
        </w:tc>
      </w:tr>
    </w:tbl>
    <w:p>
      <w:pPr>
        <w:spacing w:line="579" w:lineRule="exact"/>
        <w:ind w:firstLine="640" w:firstLineChars="200"/>
        <w:rPr>
          <w:rFonts w:hint="eastAsia" w:ascii="仿宋_GB2312" w:hAnsi="黑体" w:eastAsia="仿宋_GB2312"/>
          <w:color w:val="000000"/>
          <w:sz w:val="32"/>
          <w:szCs w:val="32"/>
          <w:lang w:val="en-US" w:eastAsia="zh-CN"/>
        </w:rPr>
      </w:pPr>
    </w:p>
    <w:p>
      <w:pPr>
        <w:spacing w:line="579" w:lineRule="exact"/>
        <w:ind w:firstLine="643" w:firstLineChars="200"/>
        <w:outlineLvl w:val="1"/>
        <w:rPr>
          <w:rFonts w:ascii="仿宋_GB2312" w:hAnsi="黑体" w:eastAsia="仿宋_GB2312"/>
          <w:b/>
          <w:color w:val="000000"/>
          <w:sz w:val="32"/>
          <w:szCs w:val="32"/>
        </w:rPr>
      </w:pPr>
      <w:r>
        <w:rPr>
          <w:rFonts w:hint="eastAsia" w:ascii="仿宋_GB2312" w:hAnsi="黑体" w:eastAsia="仿宋_GB2312"/>
          <w:b/>
          <w:color w:val="000000"/>
          <w:sz w:val="32"/>
          <w:szCs w:val="32"/>
        </w:rPr>
        <w:t>（三）交付实施要求</w:t>
      </w:r>
    </w:p>
    <w:p>
      <w:pPr>
        <w:spacing w:line="579"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自合同签订生效之日起，</w:t>
      </w:r>
      <w:r>
        <w:rPr>
          <w:rFonts w:hint="eastAsia" w:ascii="仿宋_GB2312" w:hAnsi="黑体" w:eastAsia="仿宋_GB2312"/>
          <w:color w:val="000000"/>
          <w:sz w:val="32"/>
          <w:szCs w:val="32"/>
          <w:highlight w:val="none"/>
        </w:rPr>
        <w:t>60</w:t>
      </w:r>
      <w:r>
        <w:rPr>
          <w:rFonts w:hint="eastAsia" w:ascii="仿宋_GB2312" w:hAnsi="黑体" w:eastAsia="仿宋_GB2312"/>
          <w:color w:val="000000"/>
          <w:sz w:val="32"/>
          <w:szCs w:val="32"/>
        </w:rPr>
        <w:t>天内完成到货安装、调试，交付地点为重庆市江津区支坪镇。</w:t>
      </w:r>
    </w:p>
    <w:p>
      <w:pPr>
        <w:spacing w:line="579" w:lineRule="exact"/>
        <w:ind w:firstLine="643" w:firstLineChars="200"/>
        <w:outlineLvl w:val="1"/>
        <w:rPr>
          <w:rFonts w:ascii="仿宋_GB2312" w:hAnsi="黑体" w:eastAsia="仿宋_GB2312"/>
          <w:b/>
          <w:color w:val="000000"/>
          <w:sz w:val="32"/>
          <w:szCs w:val="32"/>
        </w:rPr>
      </w:pPr>
      <w:r>
        <w:rPr>
          <w:rFonts w:hint="eastAsia" w:ascii="仿宋_GB2312" w:hAnsi="黑体" w:eastAsia="仿宋_GB2312"/>
          <w:b/>
          <w:color w:val="000000"/>
          <w:sz w:val="32"/>
          <w:szCs w:val="32"/>
        </w:rPr>
        <w:t>（四）质量保证和售后服务</w:t>
      </w:r>
    </w:p>
    <w:p>
      <w:pPr>
        <w:spacing w:line="579"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1</w:t>
      </w:r>
      <w:r>
        <w:rPr>
          <w:rFonts w:ascii="仿宋_GB2312" w:hAnsi="黑体" w:eastAsia="仿宋_GB2312"/>
          <w:color w:val="000000"/>
          <w:sz w:val="32"/>
          <w:szCs w:val="32"/>
        </w:rPr>
        <w:t>.</w:t>
      </w:r>
      <w:r>
        <w:rPr>
          <w:rFonts w:hint="eastAsia" w:ascii="仿宋_GB2312" w:hAnsi="黑体" w:eastAsia="仿宋_GB2312"/>
          <w:color w:val="000000"/>
          <w:sz w:val="32"/>
          <w:szCs w:val="32"/>
        </w:rPr>
        <w:t>履约保证金</w:t>
      </w:r>
    </w:p>
    <w:p>
      <w:pPr>
        <w:spacing w:line="579"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本项目不设履约保证金</w:t>
      </w:r>
    </w:p>
    <w:p>
      <w:pPr>
        <w:spacing w:line="579"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2</w:t>
      </w:r>
      <w:r>
        <w:rPr>
          <w:rFonts w:ascii="仿宋_GB2312" w:hAnsi="黑体" w:eastAsia="仿宋_GB2312"/>
          <w:color w:val="000000"/>
          <w:sz w:val="32"/>
          <w:szCs w:val="32"/>
        </w:rPr>
        <w:t>.</w:t>
      </w:r>
      <w:r>
        <w:rPr>
          <w:rFonts w:hint="eastAsia" w:ascii="仿宋_GB2312" w:hAnsi="黑体" w:eastAsia="仿宋_GB2312"/>
          <w:color w:val="000000"/>
          <w:sz w:val="32"/>
          <w:szCs w:val="32"/>
        </w:rPr>
        <w:t>售后服务</w:t>
      </w:r>
    </w:p>
    <w:p>
      <w:pPr>
        <w:spacing w:line="579"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①质量保证期：自交付验收完毕之日起，所有产品质保</w:t>
      </w:r>
      <w:r>
        <w:rPr>
          <w:rFonts w:hint="eastAsia" w:ascii="仿宋_GB2312" w:hAnsi="黑体" w:eastAsia="仿宋_GB2312"/>
          <w:color w:val="000000"/>
          <w:sz w:val="32"/>
          <w:szCs w:val="32"/>
          <w:highlight w:val="none"/>
        </w:rPr>
        <w:t>5</w:t>
      </w:r>
      <w:r>
        <w:rPr>
          <w:rFonts w:hint="eastAsia" w:ascii="仿宋_GB2312" w:hAnsi="黑体" w:eastAsia="仿宋_GB2312"/>
          <w:color w:val="000000"/>
          <w:sz w:val="32"/>
          <w:szCs w:val="32"/>
        </w:rPr>
        <w:t>年。投标供应商对提供的物资在质保期内，因产品质量而导致的缺陷，应当免费提供包修、包换、包退服务，因此导致的损失采购单位有权向中标供应商追偿。超出质保期后，投标供应商应当提供上门维修服务，仅收取成本费。</w:t>
      </w:r>
    </w:p>
    <w:p>
      <w:pPr>
        <w:snapToGrid w:val="0"/>
        <w:spacing w:line="579" w:lineRule="atLeast"/>
        <w:ind w:firstLine="640" w:firstLineChars="200"/>
        <w:rPr>
          <w:rFonts w:ascii="仿宋_GB2312" w:hAnsi="黑体" w:eastAsia="仿宋_GB2312"/>
          <w:color w:val="000000"/>
          <w:sz w:val="32"/>
          <w:szCs w:val="32"/>
        </w:rPr>
      </w:pPr>
      <w:r>
        <w:rPr>
          <w:rFonts w:hint="eastAsia" w:ascii="仿宋_GB2312" w:cs="Times New Roman"/>
          <w:sz w:val="32"/>
          <w:szCs w:val="32"/>
        </w:rPr>
        <w:t>▲</w:t>
      </w:r>
      <w:r>
        <w:rPr>
          <w:rFonts w:hint="eastAsia" w:ascii="仿宋_GB2312" w:hAnsi="黑体" w:eastAsia="仿宋_GB2312"/>
          <w:color w:val="000000"/>
          <w:sz w:val="32"/>
          <w:szCs w:val="32"/>
        </w:rPr>
        <w:t>②投标供应商应当承诺履行军事保密义务</w:t>
      </w:r>
      <w:r>
        <w:rPr>
          <w:rFonts w:hint="eastAsia" w:ascii="仿宋_GB2312" w:hAnsi="仿宋_GB2312" w:eastAsia="仿宋_GB2312" w:cs="仿宋_GB2312"/>
          <w:kern w:val="0"/>
          <w:sz w:val="32"/>
          <w:szCs w:val="32"/>
        </w:rPr>
        <w:t>，</w:t>
      </w:r>
      <w:r>
        <w:rPr>
          <w:rFonts w:hint="eastAsia" w:ascii="仿宋_GB2312" w:hAnsi="黑体" w:eastAsia="仿宋_GB2312"/>
          <w:color w:val="000000"/>
          <w:sz w:val="32"/>
          <w:szCs w:val="32"/>
        </w:rPr>
        <w:t>在重要活动中提供现场技术保障服务。</w:t>
      </w:r>
    </w:p>
    <w:p>
      <w:pPr>
        <w:spacing w:line="579" w:lineRule="exact"/>
        <w:ind w:firstLine="640" w:firstLineChars="200"/>
        <w:rPr>
          <w:rFonts w:ascii="仿宋_GB2312" w:hAnsi="仿宋_GB2312" w:eastAsia="仿宋_GB2312" w:cs="仿宋_GB2312"/>
          <w:kern w:val="0"/>
          <w:sz w:val="32"/>
          <w:szCs w:val="32"/>
        </w:rPr>
      </w:pPr>
      <w:r>
        <w:rPr>
          <w:rFonts w:hint="eastAsia" w:ascii="仿宋_GB2312" w:hAnsi="黑体" w:eastAsia="仿宋_GB2312"/>
          <w:color w:val="000000"/>
          <w:sz w:val="32"/>
          <w:szCs w:val="32"/>
        </w:rPr>
        <w:t>③投标供应商应当承诺提供</w:t>
      </w:r>
      <w:r>
        <w:rPr>
          <w:rFonts w:hint="eastAsia" w:ascii="仿宋_GB2312" w:hAnsi="仿宋_GB2312" w:eastAsia="仿宋_GB2312" w:cs="仿宋_GB2312"/>
          <w:kern w:val="0"/>
          <w:sz w:val="32"/>
          <w:szCs w:val="32"/>
        </w:rPr>
        <w:t>免费培训服务。含培训视频、培训手册等资料以及现场培训，内容包括设备的基本原理、操作应用及设备的维护保养知识，直到用户能正常使用和维护设备。</w:t>
      </w:r>
    </w:p>
    <w:p>
      <w:pPr>
        <w:spacing w:line="579" w:lineRule="exact"/>
        <w:ind w:firstLine="640" w:firstLineChars="200"/>
        <w:rPr>
          <w:rFonts w:ascii="仿宋_GB2312" w:hAnsi="黑体" w:eastAsia="仿宋_GB2312"/>
          <w:color w:val="000000"/>
          <w:sz w:val="32"/>
          <w:szCs w:val="32"/>
        </w:rPr>
      </w:pPr>
      <w:r>
        <w:rPr>
          <w:rFonts w:hint="eastAsia" w:ascii="仿宋_GB2312" w:hAnsi="仿宋_GB2312" w:eastAsia="仿宋_GB2312" w:cs="仿宋_GB2312"/>
          <w:kern w:val="0"/>
          <w:sz w:val="32"/>
          <w:szCs w:val="32"/>
        </w:rPr>
        <w:t>④投标供应商应当承诺提供</w:t>
      </w:r>
      <w:r>
        <w:rPr>
          <w:rFonts w:hint="eastAsia" w:ascii="仿宋_GB2312" w:hAnsi="黑体" w:eastAsia="仿宋_GB2312"/>
          <w:color w:val="000000"/>
          <w:sz w:val="32"/>
          <w:szCs w:val="32"/>
        </w:rPr>
        <w:t>技术支持和维修巡检服务（每年不少于4次），并在投标文件中提供相应书面方案。根据项目情况，提供产品建档计划等。</w:t>
      </w:r>
    </w:p>
    <w:p>
      <w:pPr>
        <w:snapToGrid w:val="0"/>
        <w:spacing w:line="579" w:lineRule="atLeast"/>
        <w:ind w:firstLine="640" w:firstLineChars="200"/>
        <w:rPr>
          <w:rFonts w:cs="Times New Roman"/>
          <w:sz w:val="32"/>
          <w:szCs w:val="32"/>
        </w:rPr>
      </w:pPr>
      <w:r>
        <w:rPr>
          <w:rFonts w:hint="eastAsia" w:ascii="仿宋_GB2312" w:hAnsi="黑体" w:eastAsia="仿宋_GB2312"/>
          <w:color w:val="000000"/>
          <w:sz w:val="32"/>
          <w:szCs w:val="32"/>
        </w:rPr>
        <w:t>⑤日常维护及服务标准：中标供应商</w:t>
      </w:r>
      <w:r>
        <w:rPr>
          <w:rFonts w:hint="eastAsia" w:ascii="仿宋_GB2312" w:hAnsi="仿宋_GB2312" w:eastAsia="仿宋_GB2312" w:cs="仿宋_GB2312"/>
          <w:kern w:val="0"/>
          <w:sz w:val="32"/>
          <w:szCs w:val="32"/>
        </w:rPr>
        <w:t>维修人员接到维修通知后2小时内响应，12小时内到达现场，设备损坏，更换备机、备件维修，并在48小时内排除故障；如不能及时到场，采购单位可协商中标</w:t>
      </w:r>
      <w:r>
        <w:rPr>
          <w:rFonts w:hint="eastAsia" w:ascii="仿宋_GB2312" w:hAnsi="黑体" w:eastAsia="仿宋_GB2312"/>
          <w:color w:val="000000"/>
          <w:sz w:val="32"/>
          <w:szCs w:val="32"/>
        </w:rPr>
        <w:t>供应商</w:t>
      </w:r>
      <w:r>
        <w:rPr>
          <w:rFonts w:hint="eastAsia" w:ascii="仿宋_GB2312" w:hAnsi="仿宋_GB2312" w:eastAsia="仿宋_GB2312" w:cs="仿宋_GB2312"/>
          <w:kern w:val="0"/>
          <w:sz w:val="32"/>
          <w:szCs w:val="32"/>
        </w:rPr>
        <w:t>委托其他单位维修，其费用由</w:t>
      </w:r>
      <w:r>
        <w:rPr>
          <w:rFonts w:hint="eastAsia" w:ascii="仿宋_GB2312" w:hAnsi="黑体" w:eastAsia="仿宋_GB2312"/>
          <w:color w:val="000000"/>
          <w:sz w:val="32"/>
          <w:szCs w:val="32"/>
        </w:rPr>
        <w:t>中标供应商</w:t>
      </w:r>
      <w:r>
        <w:rPr>
          <w:rFonts w:hint="eastAsia" w:ascii="仿宋_GB2312" w:hAnsi="仿宋_GB2312" w:eastAsia="仿宋_GB2312" w:cs="仿宋_GB2312"/>
          <w:kern w:val="0"/>
          <w:sz w:val="32"/>
          <w:szCs w:val="32"/>
        </w:rPr>
        <w:t>承担。所有产品保修服务方式均为上门保修。</w:t>
      </w:r>
    </w:p>
    <w:p>
      <w:pPr>
        <w:spacing w:line="579" w:lineRule="exact"/>
        <w:ind w:firstLine="643" w:firstLineChars="200"/>
        <w:outlineLvl w:val="1"/>
        <w:rPr>
          <w:rFonts w:ascii="仿宋_GB2312" w:hAnsi="仿宋" w:eastAsia="仿宋_GB2312" w:cs="Times New Roman"/>
          <w:b/>
          <w:bCs/>
          <w:sz w:val="32"/>
          <w:szCs w:val="32"/>
        </w:rPr>
      </w:pPr>
      <w:r>
        <w:rPr>
          <w:rFonts w:hint="eastAsia" w:ascii="仿宋_GB2312" w:hAnsi="仿宋" w:eastAsia="仿宋_GB2312" w:cs="Times New Roman"/>
          <w:b/>
          <w:bCs/>
          <w:sz w:val="32"/>
          <w:szCs w:val="32"/>
        </w:rPr>
        <w:t>（五）</w:t>
      </w:r>
      <w:r>
        <w:rPr>
          <w:rFonts w:hint="eastAsia" w:ascii="仿宋_GB2312" w:hAnsi="黑体" w:eastAsia="仿宋_GB2312"/>
          <w:b/>
          <w:color w:val="000000"/>
          <w:sz w:val="32"/>
          <w:szCs w:val="32"/>
        </w:rPr>
        <w:t>付款条件</w:t>
      </w:r>
    </w:p>
    <w:p>
      <w:pPr>
        <w:overflowPunct w:val="0"/>
        <w:spacing w:line="530" w:lineRule="exact"/>
        <w:ind w:firstLine="640" w:firstLineChars="200"/>
        <w:rPr>
          <w:rFonts w:ascii="仿宋_GB2312" w:hAnsi="仿宋" w:eastAsia="仿宋_GB2312" w:cs="Times New Roman"/>
          <w:sz w:val="32"/>
          <w:szCs w:val="32"/>
        </w:rPr>
      </w:pPr>
      <w:r>
        <w:rPr>
          <w:rFonts w:ascii="仿宋_GB2312" w:hAnsi="仿宋" w:eastAsia="仿宋_GB2312" w:cs="Times New Roman"/>
          <w:sz w:val="32"/>
          <w:szCs w:val="32"/>
        </w:rPr>
        <w:t>本项目不预付货款，</w:t>
      </w:r>
      <w:r>
        <w:rPr>
          <w:rFonts w:hint="eastAsia" w:ascii="仿宋_GB2312" w:hAnsi="仿宋" w:eastAsia="仿宋_GB2312" w:cs="Times New Roman"/>
          <w:sz w:val="32"/>
          <w:szCs w:val="32"/>
        </w:rPr>
        <w:t>物资运达指定地点、安装调试，经甲方组织验收通过后，中标供应商收集发运接收单、发票、验收报告等资料，提交采购单位办理结算手续，采购单位向中标供应商支付合同价款的9</w:t>
      </w:r>
      <w:r>
        <w:rPr>
          <w:rFonts w:ascii="仿宋_GB2312" w:hAnsi="仿宋" w:eastAsia="仿宋_GB2312" w:cs="Times New Roman"/>
          <w:sz w:val="32"/>
          <w:szCs w:val="32"/>
        </w:rPr>
        <w:t>5%</w:t>
      </w:r>
      <w:r>
        <w:rPr>
          <w:rFonts w:hint="eastAsia" w:ascii="仿宋_GB2312" w:hAnsi="仿宋" w:eastAsia="仿宋_GB2312" w:cs="Times New Roman"/>
          <w:sz w:val="32"/>
          <w:szCs w:val="32"/>
        </w:rPr>
        <w:t>，质保期结束后支付合同价款的5</w:t>
      </w:r>
      <w:r>
        <w:rPr>
          <w:rFonts w:ascii="仿宋_GB2312" w:hAnsi="仿宋" w:eastAsia="仿宋_GB2312" w:cs="Times New Roman"/>
          <w:sz w:val="32"/>
          <w:szCs w:val="32"/>
        </w:rPr>
        <w:t>%。</w:t>
      </w:r>
    </w:p>
    <w:p>
      <w:pPr>
        <w:spacing w:line="579" w:lineRule="exact"/>
        <w:ind w:firstLine="643" w:firstLineChars="200"/>
        <w:outlineLvl w:val="1"/>
        <w:rPr>
          <w:rFonts w:ascii="仿宋_GB2312" w:hAnsi="仿宋" w:eastAsia="仿宋_GB2312" w:cs="Times New Roman"/>
          <w:b/>
          <w:bCs/>
          <w:sz w:val="32"/>
          <w:szCs w:val="32"/>
        </w:rPr>
      </w:pPr>
      <w:r>
        <w:rPr>
          <w:rFonts w:hint="eastAsia" w:ascii="仿宋_GB2312" w:hAnsi="仿宋" w:eastAsia="仿宋_GB2312" w:cs="Times New Roman"/>
          <w:b/>
          <w:bCs/>
          <w:sz w:val="32"/>
          <w:szCs w:val="32"/>
        </w:rPr>
        <w:t>（六）包装、运输、专用工具、备品备件、报价要求、保险、</w:t>
      </w:r>
      <w:r>
        <w:rPr>
          <w:rFonts w:hint="eastAsia" w:ascii="仿宋_GB2312" w:hAnsi="Microsoft YaHei UI" w:eastAsia="仿宋_GB2312" w:cs="Microsoft YaHei UI"/>
          <w:b/>
          <w:bCs/>
          <w:spacing w:val="4"/>
          <w:sz w:val="32"/>
          <w:szCs w:val="32"/>
          <w:shd w:val="clear" w:color="auto" w:fill="FFFFFF"/>
        </w:rPr>
        <w:t>保密和专利</w:t>
      </w:r>
      <w:r>
        <w:rPr>
          <w:rFonts w:hint="eastAsia" w:ascii="仿宋_GB2312" w:hAnsi="仿宋" w:eastAsia="仿宋_GB2312" w:cs="Times New Roman"/>
          <w:b/>
          <w:bCs/>
          <w:sz w:val="32"/>
          <w:szCs w:val="32"/>
        </w:rPr>
        <w:t>等</w:t>
      </w:r>
    </w:p>
    <w:p>
      <w:pPr>
        <w:pBdr>
          <w:top w:val="none" w:color="auto" w:sz="0" w:space="1"/>
          <w:left w:val="none" w:color="auto" w:sz="0" w:space="4"/>
          <w:bottom w:val="none" w:color="auto" w:sz="0" w:space="1"/>
          <w:right w:val="none" w:color="auto" w:sz="0" w:space="4"/>
        </w:pBdr>
        <w:tabs>
          <w:tab w:val="left" w:pos="0"/>
        </w:tabs>
        <w:autoSpaceDE w:val="0"/>
        <w:autoSpaceDN w:val="0"/>
        <w:adjustRightInd w:val="0"/>
        <w:spacing w:line="579" w:lineRule="exact"/>
        <w:ind w:firstLine="640" w:firstLineChars="200"/>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1.备品备件</w:t>
      </w:r>
    </w:p>
    <w:p>
      <w:pPr>
        <w:pBdr>
          <w:top w:val="none" w:color="auto" w:sz="0" w:space="1"/>
          <w:left w:val="none" w:color="auto" w:sz="0" w:space="4"/>
          <w:bottom w:val="none" w:color="auto" w:sz="0" w:space="1"/>
          <w:right w:val="none" w:color="auto" w:sz="0" w:space="4"/>
        </w:pBdr>
        <w:tabs>
          <w:tab w:val="left" w:pos="0"/>
        </w:tabs>
        <w:autoSpaceDE w:val="0"/>
        <w:autoSpaceDN w:val="0"/>
        <w:adjustRightInd w:val="0"/>
        <w:spacing w:line="579" w:lineRule="exact"/>
        <w:ind w:firstLine="640" w:firstLineChars="200"/>
        <w:rPr>
          <w:rFonts w:hint="eastAsia" w:ascii="仿宋_GB2312" w:hAnsi="仿宋_GB2312" w:eastAsia="仿宋_GB2312" w:cs="仿宋_GB2312"/>
          <w:kern w:val="2"/>
          <w:sz w:val="32"/>
          <w:szCs w:val="32"/>
          <w:lang w:val="zh-CN"/>
        </w:rPr>
      </w:pPr>
      <w:r>
        <w:rPr>
          <w:rFonts w:hint="eastAsia" w:ascii="仿宋_GB2312" w:hAnsi="仿宋_GB2312" w:eastAsia="仿宋_GB2312" w:cs="仿宋_GB2312"/>
          <w:kern w:val="2"/>
          <w:sz w:val="32"/>
          <w:szCs w:val="32"/>
          <w:lang w:val="zh-CN"/>
        </w:rPr>
        <w:t>投标供应商应当提供物资生命周期内所需零备件和消耗品清单，并明确供应周期和价格等优惠条件。投标供应商应当承诺，对售后服务需求提供</w:t>
      </w:r>
      <w:r>
        <w:rPr>
          <w:rFonts w:hint="eastAsia" w:ascii="仿宋_GB2312" w:hAnsi="仿宋_GB2312" w:eastAsia="仿宋_GB2312" w:cs="仿宋_GB2312"/>
          <w:kern w:val="2"/>
          <w:sz w:val="32"/>
          <w:szCs w:val="32"/>
          <w:u w:val="single"/>
          <w:lang w:val="zh-CN"/>
        </w:rPr>
        <w:t xml:space="preserve"> </w:t>
      </w:r>
      <w:r>
        <w:rPr>
          <w:rFonts w:ascii="仿宋_GB2312" w:hAnsi="仿宋_GB2312" w:eastAsia="仿宋_GB2312" w:cs="仿宋_GB2312"/>
          <w:kern w:val="2"/>
          <w:sz w:val="32"/>
          <w:szCs w:val="32"/>
          <w:u w:val="single"/>
        </w:rPr>
        <w:t>2</w:t>
      </w:r>
      <w:r>
        <w:rPr>
          <w:rFonts w:hint="eastAsia" w:ascii="仿宋_GB2312" w:hAnsi="仿宋_GB2312" w:eastAsia="仿宋_GB2312" w:cs="仿宋_GB2312"/>
          <w:kern w:val="2"/>
          <w:sz w:val="32"/>
          <w:szCs w:val="32"/>
          <w:u w:val="single"/>
        </w:rPr>
        <w:t xml:space="preserve"> </w:t>
      </w:r>
      <w:r>
        <w:rPr>
          <w:rFonts w:hint="eastAsia" w:ascii="仿宋_GB2312" w:hAnsi="仿宋_GB2312" w:eastAsia="仿宋_GB2312" w:cs="仿宋_GB2312"/>
          <w:kern w:val="2"/>
          <w:sz w:val="32"/>
          <w:szCs w:val="32"/>
        </w:rPr>
        <w:t>小时</w:t>
      </w:r>
      <w:r>
        <w:rPr>
          <w:rFonts w:hint="eastAsia" w:ascii="仿宋_GB2312" w:hAnsi="仿宋_GB2312" w:eastAsia="仿宋_GB2312" w:cs="仿宋_GB2312"/>
          <w:kern w:val="2"/>
          <w:sz w:val="32"/>
          <w:szCs w:val="32"/>
          <w:lang w:val="zh-CN"/>
        </w:rPr>
        <w:t>响应，</w:t>
      </w:r>
      <w:r>
        <w:rPr>
          <w:rFonts w:hint="eastAsia" w:ascii="仿宋_GB2312" w:hAnsi="仿宋_GB2312" w:eastAsia="仿宋_GB2312" w:cs="仿宋_GB2312"/>
          <w:kern w:val="2"/>
          <w:sz w:val="32"/>
          <w:szCs w:val="32"/>
          <w:u w:val="single"/>
          <w:lang w:val="zh-CN"/>
        </w:rPr>
        <w:t xml:space="preserve"> </w:t>
      </w:r>
      <w:r>
        <w:rPr>
          <w:rFonts w:ascii="仿宋_GB2312" w:hAnsi="仿宋_GB2312" w:eastAsia="仿宋_GB2312" w:cs="仿宋_GB2312"/>
          <w:kern w:val="2"/>
          <w:sz w:val="32"/>
          <w:szCs w:val="32"/>
          <w:u w:val="single"/>
        </w:rPr>
        <w:t>12</w:t>
      </w:r>
      <w:r>
        <w:rPr>
          <w:rFonts w:hint="eastAsia" w:ascii="仿宋_GB2312" w:hAnsi="仿宋_GB2312" w:eastAsia="仿宋_GB2312" w:cs="仿宋_GB2312"/>
          <w:kern w:val="2"/>
          <w:sz w:val="32"/>
          <w:szCs w:val="32"/>
          <w:u w:val="single"/>
        </w:rPr>
        <w:t xml:space="preserve"> </w:t>
      </w:r>
      <w:r>
        <w:rPr>
          <w:rFonts w:hint="eastAsia" w:ascii="仿宋_GB2312" w:hAnsi="仿宋_GB2312" w:eastAsia="仿宋_GB2312" w:cs="仿宋_GB2312"/>
          <w:kern w:val="2"/>
          <w:sz w:val="32"/>
          <w:szCs w:val="32"/>
          <w:lang w:val="zh-CN"/>
        </w:rPr>
        <w:t>小时内到达现场实施维修。</w:t>
      </w:r>
      <w:r>
        <w:rPr>
          <w:rFonts w:hint="eastAsia" w:ascii="仿宋_GB2312" w:hAnsi="仿宋_GB2312" w:eastAsia="仿宋_GB2312" w:cs="仿宋_GB2312"/>
          <w:kern w:val="2"/>
          <w:sz w:val="32"/>
          <w:szCs w:val="32"/>
          <w:u w:val="single"/>
          <w:lang w:val="zh-CN"/>
        </w:rPr>
        <w:t xml:space="preserve"> </w:t>
      </w:r>
      <w:r>
        <w:rPr>
          <w:rFonts w:ascii="仿宋_GB2312" w:hAnsi="仿宋_GB2312" w:eastAsia="仿宋_GB2312" w:cs="仿宋_GB2312"/>
          <w:kern w:val="2"/>
          <w:sz w:val="32"/>
          <w:szCs w:val="32"/>
          <w:u w:val="single"/>
          <w:lang w:val="zh-CN"/>
        </w:rPr>
        <w:t>48</w:t>
      </w:r>
      <w:r>
        <w:rPr>
          <w:rFonts w:hint="eastAsia" w:ascii="仿宋_GB2312" w:hAnsi="仿宋_GB2312" w:eastAsia="仿宋_GB2312" w:cs="仿宋_GB2312"/>
          <w:kern w:val="2"/>
          <w:sz w:val="32"/>
          <w:szCs w:val="32"/>
          <w:u w:val="single"/>
        </w:rPr>
        <w:t xml:space="preserve"> </w:t>
      </w:r>
      <w:r>
        <w:rPr>
          <w:rFonts w:hint="eastAsia" w:ascii="仿宋_GB2312" w:hAnsi="仿宋_GB2312" w:eastAsia="仿宋_GB2312" w:cs="仿宋_GB2312"/>
          <w:kern w:val="2"/>
          <w:sz w:val="32"/>
          <w:szCs w:val="32"/>
          <w:lang w:val="zh-CN"/>
        </w:rPr>
        <w:t>小时仍未排除故障、恢复正常运转的，由投标供应商提供同类型备品、备件等。</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2.报价要求</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报价应当包括货款、标准附件、备品备件、专用工具、包装、安装、调试、培训、保修等费用和税金。</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投标供应商</w:t>
      </w:r>
      <w:r>
        <w:rPr>
          <w:rFonts w:hint="eastAsia" w:ascii="仿宋_GB2312" w:hAnsi="仿宋_GB2312" w:eastAsia="仿宋_GB2312" w:cs="仿宋_GB2312"/>
          <w:sz w:val="32"/>
          <w:szCs w:val="32"/>
        </w:rPr>
        <w:t>对同一种物资只允许有唯一报价，任何有选择的报价或有附加条件的报价，视为无效投标。</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3.保密要求</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供应商知悉应当承担的保密义务，如违反以下条款，供应商承担一切法律责任，赔偿因违反承诺造成的损失，接受采购单位按照国家和军队有关规定作出的处罚。参与本项目及其合同订立履行的供应商所属员工发生失密泄密的，由供应商承担连带责任：</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严格遵守国家和军队保密法规制度要求，制定并严格落实保密管理制度，设置保密部门，配备保密人员，开展保密培训，严格约束所属员工行为，接受和配合采购单位或军方采购管理部门、采购机构组织开展的保密指导和监督检查。</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未经采购单位或军方有权单位许可，不以摘抄、复制、告知、公布、出版、传递、转让或以其他任何方式使任何第三方组织和人员知悉本采购项目及其合同订立履行保密信息。采购单位提供的或参与本项目及其合同订立履行获悉的所有信息均视为保密信息，采购单位明确表示无需保密的信息除外。</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本采购项目及其合同订立履行保密信息，包括以手写、打印、软件、磁盘、光盘、胶片、图片、音视频或其他可读取方式记载的数据信息和文档资料，实行专人管理、专室专柜存放、定期审核销毁，不擅自复制留存。</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不在联接互联网计算机中存储、处理、传递，不通过普通电话、传真、快递等非保密渠道传递本采购项目及其合同订立履行保密信息。</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不将本采购项目合同订立履行保密信息作为企业业绩进行公开宣传。本合同履行完毕后，仍继续承担与合同履行期间相同的保密义务。在签订本合同前，供应商已知悉合同履行过程以及合同履行完毕后需要承担的保密义务及其成本，无须采购单位另外支付保密相关费用。</w:t>
      </w:r>
    </w:p>
    <w:p>
      <w:pPr>
        <w:pStyle w:val="34"/>
        <w:pBdr>
          <w:top w:val="none" w:color="auto" w:sz="0" w:space="1"/>
          <w:left w:val="none" w:color="auto" w:sz="0" w:space="4"/>
          <w:bottom w:val="none" w:color="auto" w:sz="0" w:space="1"/>
          <w:right w:val="none" w:color="auto" w:sz="0" w:space="4"/>
        </w:pBdr>
        <w:overflowPunct w:val="0"/>
        <w:spacing w:line="579" w:lineRule="exact"/>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4.专利及知识产权</w:t>
      </w:r>
    </w:p>
    <w:p>
      <w:pPr>
        <w:pBdr>
          <w:top w:val="none" w:color="auto" w:sz="0" w:space="1"/>
          <w:left w:val="none" w:color="auto" w:sz="0" w:space="4"/>
          <w:bottom w:val="none" w:color="auto" w:sz="0" w:space="1"/>
          <w:right w:val="none" w:color="auto" w:sz="0" w:space="4"/>
        </w:pBdr>
        <w:spacing w:line="579" w:lineRule="exact"/>
        <w:ind w:firstLine="640" w:firstLineChars="200"/>
        <w:rPr>
          <w:rFonts w:hint="eastAsia" w:ascii="仿宋_GB2312" w:hAnsi="仿宋_GB2312" w:eastAsia="仿宋_GB2312" w:cs="仿宋_GB2312"/>
          <w:kern w:val="2"/>
          <w:sz w:val="32"/>
          <w:szCs w:val="32"/>
          <w:lang w:val="zh-CN"/>
        </w:rPr>
      </w:pPr>
      <w:r>
        <w:rPr>
          <w:rFonts w:hint="eastAsia" w:ascii="仿宋_GB2312" w:hAnsi="仿宋_GB2312" w:eastAsia="仿宋_GB2312" w:cs="仿宋_GB2312"/>
          <w:kern w:val="2"/>
          <w:sz w:val="32"/>
          <w:szCs w:val="32"/>
          <w:lang w:val="zh-CN"/>
        </w:rPr>
        <w:t>供应商应当保证采购单位在使用物资和服务时不受第三方提出侵犯其知识产权的指控，对此采购单位不承担任何连带责任或赔偿责任。</w:t>
      </w:r>
    </w:p>
    <w:p>
      <w:pPr>
        <w:pStyle w:val="7"/>
        <w:pBdr>
          <w:top w:val="none" w:color="auto" w:sz="0" w:space="1"/>
          <w:left w:val="none" w:color="auto" w:sz="0" w:space="4"/>
          <w:bottom w:val="none" w:color="auto" w:sz="0" w:space="1"/>
          <w:right w:val="none" w:color="auto" w:sz="0" w:space="4"/>
        </w:pBdr>
        <w:spacing w:after="0" w:line="579" w:lineRule="exact"/>
        <w:ind w:firstLine="640" w:firstLineChars="200"/>
        <w:rPr>
          <w:rFonts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基于项目合同履行形成的知识产权和其他权益，其权属归采购单位所有，法律另有规定的除外。</w:t>
      </w:r>
    </w:p>
    <w:p>
      <w:pPr>
        <w:spacing w:line="579" w:lineRule="exact"/>
        <w:ind w:firstLine="643" w:firstLineChars="200"/>
        <w:outlineLvl w:val="1"/>
        <w:rPr>
          <w:rFonts w:hint="eastAsia" w:ascii="仿宋_GB2312" w:eastAsia="仿宋_GB2312"/>
          <w:b/>
          <w:sz w:val="32"/>
          <w:szCs w:val="32"/>
          <w:lang w:val="zh-CN"/>
        </w:rPr>
      </w:pPr>
      <w:r>
        <w:rPr>
          <w:rFonts w:hint="eastAsia" w:ascii="仿宋_GB2312" w:eastAsia="仿宋_GB2312"/>
          <w:b/>
          <w:sz w:val="32"/>
          <w:szCs w:val="32"/>
          <w:lang w:val="zh-CN"/>
        </w:rPr>
        <w:t>（七）打码贴签</w:t>
      </w:r>
    </w:p>
    <w:p>
      <w:pPr>
        <w:overflowPunct w:val="0"/>
        <w:spacing w:line="530" w:lineRule="exact"/>
        <w:ind w:firstLine="640" w:firstLineChars="200"/>
        <w:rPr>
          <w:rFonts w:hint="eastAsia" w:ascii="仿宋_GB2312" w:hAnsi="仿宋" w:eastAsia="仿宋_GB2312" w:cs="Times New Roman"/>
          <w:sz w:val="32"/>
          <w:szCs w:val="32"/>
        </w:rPr>
      </w:pPr>
      <w:r>
        <w:rPr>
          <w:rFonts w:hint="eastAsia" w:ascii="仿宋_GB2312" w:hAnsi="仿宋" w:eastAsia="仿宋_GB2312" w:cs="Times New Roman"/>
          <w:sz w:val="32"/>
          <w:szCs w:val="32"/>
        </w:rPr>
        <w:t>1.乙方应当配合甲方完成合同内采购物资的编目编码工作，按照统一要求，提供物资相关数据信息，配合甲方做好编目数据采集工作。涉密信息应当按照国家、军队安全保密有关规定进行处理，确保不发生失泄密问题。</w:t>
      </w:r>
    </w:p>
    <w:p>
      <w:pPr>
        <w:overflowPunct w:val="0"/>
        <w:spacing w:line="530" w:lineRule="exact"/>
        <w:ind w:firstLine="640" w:firstLineChars="200"/>
        <w:rPr>
          <w:rFonts w:hint="eastAsia" w:ascii="仿宋_GB2312" w:hAnsi="仿宋" w:eastAsia="仿宋_GB2312" w:cs="Times New Roman"/>
          <w:sz w:val="32"/>
          <w:szCs w:val="32"/>
        </w:rPr>
      </w:pPr>
      <w:r>
        <w:rPr>
          <w:rFonts w:hint="eastAsia" w:ascii="仿宋_GB2312" w:hAnsi="仿宋" w:eastAsia="仿宋_GB2312" w:cs="Times New Roman"/>
          <w:sz w:val="32"/>
          <w:szCs w:val="32"/>
        </w:rPr>
        <w:t>2.乙方应当按照统一要求在物资交付前完成打码贴签工作。</w:t>
      </w:r>
    </w:p>
    <w:p>
      <w:pPr>
        <w:overflowPunct w:val="0"/>
        <w:spacing w:line="53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3.物资编目数据填报和打码贴签情况，列入出厂验收、接收验收项目；编目数据、标识标签不符合规范要求的，验收不予通过，不得进入物资储存单位。乙方应当在7日内完成整改，重新协调甲方组织验收。</w:t>
      </w:r>
    </w:p>
    <w:p>
      <w:pPr>
        <w:overflowPunct w:val="0"/>
        <w:spacing w:line="530" w:lineRule="exact"/>
        <w:ind w:firstLine="640" w:firstLineChars="200"/>
        <w:rPr>
          <w:rFonts w:hint="eastAsia" w:ascii="仿宋_GB2312" w:hAnsi="仿宋" w:eastAsia="仿宋_GB2312" w:cs="Times New Roman"/>
          <w:sz w:val="32"/>
          <w:szCs w:val="32"/>
        </w:rPr>
      </w:pPr>
    </w:p>
    <w:p>
      <w:pPr>
        <w:snapToGrid w:val="0"/>
        <w:spacing w:line="579" w:lineRule="atLeast"/>
        <w:ind w:firstLine="880" w:firstLineChars="200"/>
        <w:jc w:val="center"/>
        <w:outlineLvl w:val="0"/>
        <w:rPr>
          <w:rFonts w:ascii="仿宋_GB2312" w:hAnsi="仿宋_GB2312" w:eastAsia="仿宋_GB2312" w:cs="仿宋_GB2312"/>
          <w:b/>
          <w:kern w:val="0"/>
          <w:sz w:val="32"/>
          <w:szCs w:val="32"/>
          <w:highlight w:val="none"/>
        </w:rPr>
      </w:pPr>
      <w:r>
        <w:rPr>
          <w:rFonts w:hint="eastAsia" w:eastAsia="方正小标宋简体" w:asciiTheme="majorHAnsi" w:hAnsiTheme="majorHAnsi" w:cstheme="majorBidi"/>
          <w:b w:val="0"/>
          <w:bCs w:val="0"/>
          <w:kern w:val="2"/>
          <w:sz w:val="44"/>
          <w:szCs w:val="32"/>
          <w:lang w:val="en-US" w:eastAsia="zh-CN" w:bidi="ar-SA"/>
        </w:rPr>
        <w:t>实施意见</w:t>
      </w:r>
    </w:p>
    <w:p>
      <w:pPr>
        <w:pBdr>
          <w:top w:val="none" w:color="auto" w:sz="0" w:space="1"/>
          <w:left w:val="none" w:color="auto" w:sz="0" w:space="4"/>
          <w:bottom w:val="none" w:color="auto" w:sz="0" w:space="1"/>
          <w:right w:val="none" w:color="auto" w:sz="0" w:space="4"/>
        </w:pBdr>
        <w:spacing w:line="579" w:lineRule="exact"/>
        <w:ind w:firstLine="643" w:firstLineChars="200"/>
        <w:outlineLvl w:val="1"/>
        <w:rPr>
          <w:rFonts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rPr>
        <w:t>（一）供应商特定资格条件设定</w:t>
      </w:r>
    </w:p>
    <w:p>
      <w:pPr>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具有涉密信息系统集成资质证书乙级及</w:t>
      </w:r>
      <w:bookmarkStart w:id="0" w:name="_GoBack"/>
      <w:bookmarkEnd w:id="0"/>
      <w:r>
        <w:rPr>
          <w:rFonts w:hint="eastAsia" w:ascii="仿宋_GB2312" w:hAnsi="仿宋_GB2312" w:eastAsia="仿宋_GB2312" w:cs="仿宋_GB2312"/>
          <w:sz w:val="32"/>
          <w:szCs w:val="32"/>
          <w:highlight w:val="none"/>
        </w:rPr>
        <w:t>以上资质或武器装备科研生产单位保密二级及以上资质。</w:t>
      </w:r>
    </w:p>
    <w:p>
      <w:pPr>
        <w:pBdr>
          <w:top w:val="none" w:color="auto" w:sz="0" w:space="1"/>
          <w:left w:val="none" w:color="auto" w:sz="0" w:space="4"/>
          <w:bottom w:val="none" w:color="auto" w:sz="0" w:space="1"/>
          <w:right w:val="none" w:color="auto" w:sz="0" w:space="4"/>
        </w:pBdr>
        <w:spacing w:line="579" w:lineRule="exact"/>
        <w:ind w:firstLine="643" w:firstLineChars="200"/>
        <w:outlineLvl w:val="1"/>
        <w:rPr>
          <w:rFonts w:hint="eastAsia"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rPr>
        <w:t>（二）样品评审（比测）组织</w:t>
      </w:r>
    </w:p>
    <w:p>
      <w:pPr>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无</w:t>
      </w:r>
    </w:p>
    <w:p>
      <w:pPr>
        <w:pBdr>
          <w:top w:val="none" w:color="auto" w:sz="0" w:space="1"/>
          <w:left w:val="none" w:color="auto" w:sz="0" w:space="4"/>
          <w:bottom w:val="none" w:color="auto" w:sz="0" w:space="1"/>
          <w:right w:val="none" w:color="auto" w:sz="0" w:space="4"/>
        </w:pBdr>
        <w:spacing w:line="579" w:lineRule="exact"/>
        <w:ind w:firstLine="643" w:firstLineChars="200"/>
        <w:outlineLvl w:val="1"/>
        <w:rPr>
          <w:rFonts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rPr>
        <w:t>（三）采购方式</w:t>
      </w:r>
    </w:p>
    <w:p>
      <w:pPr>
        <w:spacing w:line="579" w:lineRule="exact"/>
        <w:ind w:firstLine="640" w:firstLineChars="200"/>
        <w:rPr>
          <w:rFonts w:ascii="仿宋_GB2312" w:hAnsi="黑体" w:eastAsia="仿宋_GB2312"/>
          <w:color w:val="000000"/>
          <w:sz w:val="32"/>
          <w:szCs w:val="32"/>
          <w:highlight w:val="none"/>
        </w:rPr>
      </w:pPr>
      <w:r>
        <w:rPr>
          <w:rFonts w:hint="eastAsia" w:ascii="仿宋_GB2312" w:hAnsi="黑体" w:eastAsia="仿宋_GB2312"/>
          <w:color w:val="000000"/>
          <w:sz w:val="32"/>
          <w:szCs w:val="32"/>
          <w:highlight w:val="none"/>
        </w:rPr>
        <w:t>公开招标</w:t>
      </w:r>
    </w:p>
    <w:p>
      <w:pPr>
        <w:pBdr>
          <w:top w:val="none" w:color="auto" w:sz="0" w:space="1"/>
          <w:left w:val="none" w:color="auto" w:sz="0" w:space="4"/>
          <w:bottom w:val="none" w:color="auto" w:sz="0" w:space="1"/>
          <w:right w:val="none" w:color="auto" w:sz="0" w:space="4"/>
        </w:pBdr>
        <w:spacing w:line="579" w:lineRule="exact"/>
        <w:ind w:firstLine="643" w:firstLineChars="200"/>
        <w:outlineLvl w:val="1"/>
        <w:rPr>
          <w:rFonts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rPr>
        <w:t>（四）评审方法选择</w:t>
      </w:r>
    </w:p>
    <w:p>
      <w:pPr>
        <w:spacing w:line="579" w:lineRule="exact"/>
        <w:ind w:firstLine="640" w:firstLineChars="200"/>
        <w:rPr>
          <w:rFonts w:hint="eastAsia" w:ascii="仿宋_GB2312" w:hAnsi="仿宋_GB2312" w:eastAsia="仿宋_GB2312"/>
          <w:kern w:val="0"/>
          <w:sz w:val="32"/>
          <w:szCs w:val="32"/>
          <w:highlight w:val="none"/>
        </w:rPr>
      </w:pPr>
      <w:r>
        <w:rPr>
          <w:rFonts w:hint="eastAsia" w:ascii="仿宋_GB2312" w:hAnsi="仿宋_GB2312" w:eastAsia="仿宋_GB2312"/>
          <w:kern w:val="0"/>
          <w:sz w:val="32"/>
          <w:szCs w:val="32"/>
          <w:highlight w:val="none"/>
        </w:rPr>
        <w:t>综合评分法</w:t>
      </w:r>
    </w:p>
    <w:p>
      <w:pPr>
        <w:ind w:firstLine="640"/>
        <w:rPr>
          <w:highlight w:val="none"/>
        </w:rPr>
      </w:pPr>
    </w:p>
    <w:p>
      <w:pPr>
        <w:ind w:firstLine="640"/>
      </w:pPr>
    </w:p>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4" w:left="1587" w:header="851" w:footer="992" w:gutter="0"/>
      <w:cols w:space="425" w:num="1"/>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embedRegular r:id="rId1" w:fontKey="{AA7BC8E7-ED9C-426B-B2F4-399F7EC2DCE4}"/>
  </w:font>
  <w:font w:name="宋体">
    <w:panose1 w:val="02010600030101010101"/>
    <w:charset w:val="7A"/>
    <w:family w:val="auto"/>
    <w:pitch w:val="default"/>
    <w:sig w:usb0="00000203" w:usb1="288F0000" w:usb2="00000006" w:usb3="00000000" w:csb0="00040001" w:csb1="00000000"/>
    <w:embedRegular r:id="rId2" w:fontKey="{35D184A8-934E-49A4-BFA9-9402632BCE1B}"/>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3" w:fontKey="{1B428A1E-4972-4C13-9DE3-2B78DDD9A78A}"/>
  </w:font>
  <w:font w:name="黑体">
    <w:panose1 w:val="02010609060101010101"/>
    <w:charset w:val="86"/>
    <w:family w:val="auto"/>
    <w:pitch w:val="default"/>
    <w:sig w:usb0="800002BF" w:usb1="38CF7CFA" w:usb2="00000016" w:usb3="00000000" w:csb0="00040001" w:csb1="00000000"/>
    <w:embedRegular r:id="rId4" w:fontKey="{20EE8554-76DB-45AD-8DAB-7F880FD0F90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5" w:fontKey="{DF843FDD-8F8F-44A4-93FC-230482C6EEDE}"/>
  </w:font>
  <w:font w:name="仿宋_GB2312">
    <w:panose1 w:val="02010609030101010101"/>
    <w:charset w:val="86"/>
    <w:family w:val="modern"/>
    <w:pitch w:val="default"/>
    <w:sig w:usb0="00000001" w:usb1="080E0000" w:usb2="00000000" w:usb3="00000000" w:csb0="00040000" w:csb1="00000000"/>
    <w:embedRegular r:id="rId6" w:fontKey="{F70C4F93-5E32-41BE-9ACA-6E209CF53567}"/>
  </w:font>
  <w:font w:name="Calibri Light">
    <w:panose1 w:val="020F0302020204030204"/>
    <w:charset w:val="00"/>
    <w:family w:val="swiss"/>
    <w:pitch w:val="default"/>
    <w:sig w:usb0="E4002EFF" w:usb1="C000247B" w:usb2="00000009" w:usb3="00000000" w:csb0="200001FF" w:csb1="00000000"/>
    <w:embedRegular r:id="rId7" w:fontKey="{5586CBE9-FB19-41F2-9FA1-322BF1879D98}"/>
  </w:font>
  <w:font w:name="楷体_GB2312">
    <w:panose1 w:val="02010609030101010101"/>
    <w:charset w:val="86"/>
    <w:family w:val="modern"/>
    <w:pitch w:val="default"/>
    <w:sig w:usb0="00000001" w:usb1="080E0000" w:usb2="00000000" w:usb3="00000000" w:csb0="00040000" w:csb1="00000000"/>
    <w:embedRegular r:id="rId8" w:fontKey="{8AC6DBE5-E54B-4F14-9E7C-C4038460C5AC}"/>
  </w:font>
  <w:font w:name="Cambria">
    <w:panose1 w:val="02040503050406030204"/>
    <w:charset w:val="00"/>
    <w:family w:val="roman"/>
    <w:pitch w:val="default"/>
    <w:sig w:usb0="E00006FF" w:usb1="420024FF" w:usb2="02000000" w:usb3="00000000" w:csb0="2000019F" w:csb1="00000000"/>
  </w:font>
  <w:font w:name="方正小标宋简体">
    <w:panose1 w:val="03000509000000000000"/>
    <w:charset w:val="86"/>
    <w:family w:val="script"/>
    <w:pitch w:val="default"/>
    <w:sig w:usb0="00000001" w:usb1="080E0000" w:usb2="00000000" w:usb3="00000000" w:csb0="00040000" w:csb1="00000000"/>
    <w:embedRegular r:id="rId9" w:fontKey="{84274481-5C45-4279-9281-719CDC0EF64D}"/>
  </w:font>
  <w:font w:name="仿宋">
    <w:panose1 w:val="02010609060101010101"/>
    <w:charset w:val="86"/>
    <w:family w:val="modern"/>
    <w:pitch w:val="default"/>
    <w:sig w:usb0="800002BF" w:usb1="38CF7CFA" w:usb2="00000016" w:usb3="00000000" w:csb0="00040001" w:csb1="00000000"/>
    <w:embedRegular r:id="rId10" w:fontKey="{D6A54DE6-666B-4157-9885-C0E1BD84E3B7}"/>
  </w:font>
  <w:font w:name="Microsoft YaHei UI">
    <w:panose1 w:val="020B0503020204020204"/>
    <w:charset w:val="86"/>
    <w:family w:val="swiss"/>
    <w:pitch w:val="default"/>
    <w:sig w:usb0="80000287" w:usb1="2ACF3C50" w:usb2="00000016" w:usb3="00000000" w:csb0="0004001F" w:csb1="00000000"/>
    <w:embedRegular r:id="rId11" w:fontKey="{364D4CBC-4637-43E7-92C6-55C77C0A2BD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ind w:firstLine="560"/>
                          </w:pPr>
                          <w:r>
                            <w:rPr>
                              <w:rFonts w:hint="eastAsia" w:ascii="宋体" w:hAnsi="宋体" w:eastAsia="宋体" w:cs="宋体"/>
                              <w:sz w:val="28"/>
                              <w:szCs w:val="28"/>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0"/>
                      <w:ind w:firstLine="560"/>
                    </w:pPr>
                    <w:r>
                      <w:rPr>
                        <w:rFonts w:hint="eastAsia" w:ascii="宋体" w:hAnsi="宋体" w:eastAsia="宋体" w:cs="宋体"/>
                        <w:sz w:val="28"/>
                        <w:szCs w:val="28"/>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560"/>
      <w:rPr>
        <w:rFonts w:ascii="宋体" w:hAnsi="宋体" w:eastAsia="宋体"/>
        <w:sz w:val="28"/>
        <w:szCs w:val="28"/>
      </w:rPr>
    </w:pPr>
    <w:r>
      <w:rPr>
        <w:rFonts w:hint="eastAsia" w:ascii="宋体" w:hAnsi="宋体" w:eastAsia="宋体"/>
        <w:sz w:val="28"/>
        <w:szCs w:val="28"/>
      </w:rPr>
      <w:t>—</w:t>
    </w:r>
    <w:sdt>
      <w:sdtPr>
        <w:rPr>
          <w:rFonts w:ascii="宋体" w:hAnsi="宋体" w:eastAsia="宋体"/>
          <w:sz w:val="28"/>
          <w:szCs w:val="28"/>
        </w:rPr>
        <w:id w:val="-189066105"/>
        <w:docPartObj>
          <w:docPartGallery w:val="autotext"/>
        </w:docPartObj>
      </w:sdtPr>
      <w:sdtEndPr>
        <w:rPr>
          <w:rFonts w:ascii="宋体" w:hAnsi="宋体" w:eastAsia="宋体"/>
          <w:sz w:val="28"/>
          <w:szCs w:val="28"/>
        </w:rPr>
      </w:sdtEndPr>
      <w:sdtContent>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rPr>
          <w:t>2</w:t>
        </w:r>
        <w:r>
          <w:rPr>
            <w:rFonts w:ascii="宋体" w:hAnsi="宋体" w:eastAsia="宋体"/>
            <w:sz w:val="28"/>
            <w:szCs w:val="28"/>
          </w:rPr>
          <w:fldChar w:fldCharType="end"/>
        </w:r>
      </w:sdtContent>
    </w:sdt>
    <w:r>
      <w:rPr>
        <w:rFonts w:hint="eastAsia" w:ascii="宋体" w:hAnsi="宋体" w:eastAsia="宋体"/>
        <w:sz w:val="28"/>
        <w:szCs w:val="28"/>
      </w:rPr>
      <w:t>—</w:t>
    </w:r>
  </w:p>
  <w:p>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987207"/>
    <w:multiLevelType w:val="singleLevel"/>
    <w:tmpl w:val="8F987207"/>
    <w:lvl w:ilvl="0" w:tentative="0">
      <w:start w:val="1"/>
      <w:numFmt w:val="chineseCounting"/>
      <w:suff w:val="nothing"/>
      <w:lvlText w:val="%1、"/>
      <w:lvlJc w:val="left"/>
      <w:rPr>
        <w:rFonts w:hint="eastAsia"/>
      </w:rPr>
    </w:lvl>
  </w:abstractNum>
  <w:abstractNum w:abstractNumId="1">
    <w:nsid w:val="90F5412C"/>
    <w:multiLevelType w:val="singleLevel"/>
    <w:tmpl w:val="90F5412C"/>
    <w:lvl w:ilvl="0" w:tentative="0">
      <w:start w:val="2"/>
      <w:numFmt w:val="chineseCounting"/>
      <w:suff w:val="nothing"/>
      <w:lvlText w:val="%1、"/>
      <w:lvlJc w:val="left"/>
      <w:rPr>
        <w:rFonts w:hint="eastAsia"/>
      </w:rPr>
    </w:lvl>
  </w:abstractNum>
  <w:abstractNum w:abstractNumId="2">
    <w:nsid w:val="61B47E14"/>
    <w:multiLevelType w:val="multilevel"/>
    <w:tmpl w:val="61B47E14"/>
    <w:lvl w:ilvl="0" w:tentative="0">
      <w:start w:val="1"/>
      <w:numFmt w:val="chineseCountingThousand"/>
      <w:pStyle w:val="25"/>
      <w:suff w:val="nothing"/>
      <w:lvlText w:val="%1、"/>
      <w:lvlJc w:val="left"/>
      <w:pPr>
        <w:ind w:left="0" w:firstLine="0"/>
      </w:pPr>
      <w:rPr>
        <w:rFonts w:hint="eastAsia" w:eastAsia="黑体"/>
        <w:b w:val="0"/>
        <w:i w:val="0"/>
        <w:caps w:val="0"/>
        <w:strike w:val="0"/>
        <w:dstrike w:val="0"/>
        <w:vanish w:val="0"/>
        <w:color w:val="000000"/>
        <w:sz w:val="32"/>
        <w:vertAlign w:val="baseline"/>
      </w:rPr>
    </w:lvl>
    <w:lvl w:ilvl="1" w:tentative="0">
      <w:start w:val="1"/>
      <w:numFmt w:val="chineseCountingThousand"/>
      <w:pStyle w:val="26"/>
      <w:suff w:val="nothing"/>
      <w:lvlText w:val="（%2）"/>
      <w:lvlJc w:val="left"/>
      <w:pPr>
        <w:ind w:left="0" w:firstLine="0"/>
      </w:pPr>
      <w:rPr>
        <w:rFonts w:hint="eastAsia" w:eastAsia="楷体_GB2312"/>
        <w:b w:val="0"/>
        <w:i w:val="0"/>
        <w:sz w:val="32"/>
        <w:szCs w:val="32"/>
      </w:rPr>
    </w:lvl>
    <w:lvl w:ilvl="2" w:tentative="0">
      <w:start w:val="1"/>
      <w:numFmt w:val="decimal"/>
      <w:pStyle w:val="27"/>
      <w:suff w:val="nothing"/>
      <w:lvlText w:val="%3．"/>
      <w:lvlJc w:val="left"/>
      <w:pPr>
        <w:ind w:left="0" w:firstLine="0"/>
      </w:pPr>
      <w:rPr>
        <w:rFonts w:hint="eastAsia" w:ascii="仿宋_GB2312" w:hAnsi="Times New Roman" w:eastAsia="仿宋_GB2312"/>
        <w:b/>
        <w:i w:val="0"/>
        <w:sz w:val="32"/>
        <w:szCs w:val="32"/>
      </w:rPr>
    </w:lvl>
    <w:lvl w:ilvl="3" w:tentative="0">
      <w:start w:val="1"/>
      <w:numFmt w:val="decimal"/>
      <w:pStyle w:val="28"/>
      <w:suff w:val="nothing"/>
      <w:lvlText w:val="（%4）"/>
      <w:lvlJc w:val="left"/>
      <w:pPr>
        <w:ind w:left="0" w:firstLine="0"/>
      </w:pPr>
      <w:rPr>
        <w:rFonts w:hint="eastAsia" w:ascii="仿宋_GB2312" w:eastAsia="仿宋_GB2312"/>
        <w:b w:val="0"/>
        <w:i w:val="0"/>
        <w:sz w:val="32"/>
      </w:rPr>
    </w:lvl>
    <w:lvl w:ilvl="4" w:tentative="0">
      <w:start w:val="1"/>
      <w:numFmt w:val="decimal"/>
      <w:pStyle w:val="29"/>
      <w:suff w:val="nothing"/>
      <w:lvlText w:val="%5）"/>
      <w:lvlJc w:val="left"/>
      <w:pPr>
        <w:ind w:left="0" w:firstLine="0"/>
      </w:pPr>
      <w:rPr>
        <w:rFonts w:hint="eastAsia" w:ascii="楷体_GB2312" w:eastAsia="楷体_GB2312"/>
        <w:b w:val="0"/>
        <w:i w:val="0"/>
        <w:sz w:val="32"/>
      </w:rPr>
    </w:lvl>
    <w:lvl w:ilvl="5" w:tentative="0">
      <w:start w:val="1"/>
      <w:numFmt w:val="decima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embedSystemFonts/>
  <w:saveSubsetFonts/>
  <w:bordersDoNotSurroundHeader w:val="1"/>
  <w:bordersDoNotSurroundFooter w:val="1"/>
  <w:documentProtection w:enforcement="0"/>
  <w:defaultTabStop w:val="420"/>
  <w:evenAndOddHeaders w:val="1"/>
  <w:drawingGridHorizontalSpacing w:val="160"/>
  <w:drawingGridVerticalSpacing w:val="435"/>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M2NDYzM2RlYzZhZDQ1MjM4OWJhNzU5NDBjOGZmYWQifQ=="/>
  </w:docVars>
  <w:rsids>
    <w:rsidRoot w:val="00EB5739"/>
    <w:rsid w:val="0007640B"/>
    <w:rsid w:val="0012538E"/>
    <w:rsid w:val="005711B1"/>
    <w:rsid w:val="005D5DA8"/>
    <w:rsid w:val="0070300A"/>
    <w:rsid w:val="00781323"/>
    <w:rsid w:val="007B2671"/>
    <w:rsid w:val="00977A9C"/>
    <w:rsid w:val="009B7CD9"/>
    <w:rsid w:val="00A90961"/>
    <w:rsid w:val="00AC1DD5"/>
    <w:rsid w:val="00C01119"/>
    <w:rsid w:val="00C05166"/>
    <w:rsid w:val="00E826B8"/>
    <w:rsid w:val="00EB5739"/>
    <w:rsid w:val="00F62A22"/>
    <w:rsid w:val="012D6605"/>
    <w:rsid w:val="05777F14"/>
    <w:rsid w:val="073C31C4"/>
    <w:rsid w:val="0BD83C21"/>
    <w:rsid w:val="0E7616B1"/>
    <w:rsid w:val="115A64A4"/>
    <w:rsid w:val="12BE1F98"/>
    <w:rsid w:val="178457E4"/>
    <w:rsid w:val="1C927C4C"/>
    <w:rsid w:val="1D423278"/>
    <w:rsid w:val="1D80535C"/>
    <w:rsid w:val="1DE24FEC"/>
    <w:rsid w:val="210E746C"/>
    <w:rsid w:val="221922E6"/>
    <w:rsid w:val="2D53219D"/>
    <w:rsid w:val="2EBC4436"/>
    <w:rsid w:val="31143FFF"/>
    <w:rsid w:val="349855D6"/>
    <w:rsid w:val="36170B04"/>
    <w:rsid w:val="39B32F0A"/>
    <w:rsid w:val="3AD818AF"/>
    <w:rsid w:val="3C420328"/>
    <w:rsid w:val="3D0727A9"/>
    <w:rsid w:val="3D0A5EC8"/>
    <w:rsid w:val="455039F8"/>
    <w:rsid w:val="472D42FC"/>
    <w:rsid w:val="485B09F4"/>
    <w:rsid w:val="4ABB1C1E"/>
    <w:rsid w:val="4E5C1864"/>
    <w:rsid w:val="519D6151"/>
    <w:rsid w:val="54507469"/>
    <w:rsid w:val="55AA033A"/>
    <w:rsid w:val="573A49B9"/>
    <w:rsid w:val="58286B7E"/>
    <w:rsid w:val="58F30492"/>
    <w:rsid w:val="5AE623A0"/>
    <w:rsid w:val="5CCB5CF1"/>
    <w:rsid w:val="5DBD1173"/>
    <w:rsid w:val="637B1AF3"/>
    <w:rsid w:val="64FF0C2E"/>
    <w:rsid w:val="67160D63"/>
    <w:rsid w:val="672030DD"/>
    <w:rsid w:val="67B6134C"/>
    <w:rsid w:val="68A971D2"/>
    <w:rsid w:val="68C31F72"/>
    <w:rsid w:val="6C2965A5"/>
    <w:rsid w:val="6F245EFB"/>
    <w:rsid w:val="702459EC"/>
    <w:rsid w:val="72165879"/>
    <w:rsid w:val="74640AAD"/>
    <w:rsid w:val="74A92964"/>
    <w:rsid w:val="751F18D8"/>
    <w:rsid w:val="77644920"/>
    <w:rsid w:val="77682CF7"/>
    <w:rsid w:val="7D252D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579" w:lineRule="exact"/>
      <w:ind w:firstLine="200" w:firstLineChars="200"/>
      <w:jc w:val="both"/>
    </w:pPr>
    <w:rPr>
      <w:rFonts w:ascii="仿宋_GB2312" w:hAnsi="仿宋_GB2312" w:eastAsia="仿宋_GB2312" w:cstheme="minorBidi"/>
      <w:kern w:val="2"/>
      <w:sz w:val="32"/>
      <w:szCs w:val="22"/>
      <w:lang w:val="en-US" w:eastAsia="zh-CN" w:bidi="ar-SA"/>
    </w:rPr>
  </w:style>
  <w:style w:type="paragraph" w:styleId="2">
    <w:name w:val="heading 1"/>
    <w:basedOn w:val="1"/>
    <w:next w:val="1"/>
    <w:link w:val="19"/>
    <w:autoRedefine/>
    <w:qFormat/>
    <w:uiPriority w:val="9"/>
    <w:pPr>
      <w:keepNext/>
      <w:keepLines/>
      <w:ind w:firstLine="883"/>
      <w:jc w:val="left"/>
      <w:outlineLvl w:val="0"/>
    </w:pPr>
    <w:rPr>
      <w:rFonts w:eastAsia="黑体"/>
      <w:bCs/>
      <w:kern w:val="44"/>
      <w:szCs w:val="44"/>
    </w:rPr>
  </w:style>
  <w:style w:type="paragraph" w:styleId="3">
    <w:name w:val="heading 2"/>
    <w:basedOn w:val="1"/>
    <w:next w:val="1"/>
    <w:link w:val="22"/>
    <w:autoRedefine/>
    <w:unhideWhenUsed/>
    <w:qFormat/>
    <w:uiPriority w:val="9"/>
    <w:pPr>
      <w:keepNext/>
      <w:keepLines/>
      <w:ind w:firstLine="883"/>
      <w:jc w:val="left"/>
      <w:outlineLvl w:val="1"/>
    </w:pPr>
    <w:rPr>
      <w:rFonts w:eastAsia="楷体_GB2312" w:asciiTheme="majorHAnsi" w:hAnsiTheme="majorHAnsi" w:cstheme="majorBidi"/>
      <w:bCs/>
      <w:szCs w:val="32"/>
    </w:rPr>
  </w:style>
  <w:style w:type="paragraph" w:styleId="4">
    <w:name w:val="heading 3"/>
    <w:basedOn w:val="1"/>
    <w:next w:val="1"/>
    <w:link w:val="23"/>
    <w:autoRedefine/>
    <w:unhideWhenUsed/>
    <w:qFormat/>
    <w:uiPriority w:val="9"/>
    <w:pPr>
      <w:keepNext/>
      <w:keepLines/>
      <w:ind w:firstLine="883"/>
      <w:jc w:val="left"/>
      <w:outlineLvl w:val="2"/>
    </w:pPr>
    <w:rPr>
      <w:bCs/>
      <w:szCs w:val="32"/>
    </w:rPr>
  </w:style>
  <w:style w:type="character" w:default="1" w:styleId="16">
    <w:name w:val="Default Paragraph Font"/>
    <w:autoRedefine/>
    <w:semiHidden/>
    <w:unhideWhenUsed/>
    <w:qFormat/>
    <w:uiPriority w:val="1"/>
  </w:style>
  <w:style w:type="table" w:default="1" w:styleId="15">
    <w:name w:val="Normal Table"/>
    <w:autoRedefine/>
    <w:semiHidden/>
    <w:unhideWhenUsed/>
    <w:qFormat/>
    <w:uiPriority w:val="99"/>
    <w:tblPr>
      <w:tblCellMar>
        <w:top w:w="0" w:type="dxa"/>
        <w:left w:w="108" w:type="dxa"/>
        <w:bottom w:w="0" w:type="dxa"/>
        <w:right w:w="108" w:type="dxa"/>
      </w:tblCellMar>
    </w:tblPr>
  </w:style>
  <w:style w:type="paragraph" w:styleId="5">
    <w:name w:val="caption"/>
    <w:basedOn w:val="1"/>
    <w:next w:val="1"/>
    <w:autoRedefine/>
    <w:unhideWhenUsed/>
    <w:qFormat/>
    <w:uiPriority w:val="35"/>
    <w:rPr>
      <w:rFonts w:ascii="Cambria" w:hAnsi="Cambria" w:eastAsia="楷体_GB2312" w:cs="Times New Roman"/>
      <w:sz w:val="28"/>
      <w:szCs w:val="20"/>
    </w:rPr>
  </w:style>
  <w:style w:type="paragraph" w:styleId="6">
    <w:name w:val="annotation text"/>
    <w:basedOn w:val="1"/>
    <w:autoRedefine/>
    <w:semiHidden/>
    <w:unhideWhenUsed/>
    <w:qFormat/>
    <w:uiPriority w:val="99"/>
    <w:pPr>
      <w:jc w:val="left"/>
    </w:pPr>
  </w:style>
  <w:style w:type="paragraph" w:styleId="7">
    <w:name w:val="Body Text"/>
    <w:basedOn w:val="1"/>
    <w:next w:val="8"/>
    <w:autoRedefine/>
    <w:unhideWhenUsed/>
    <w:qFormat/>
    <w:uiPriority w:val="0"/>
    <w:pPr>
      <w:widowControl w:val="0"/>
      <w:spacing w:after="120"/>
      <w:jc w:val="both"/>
    </w:pPr>
    <w:rPr>
      <w:rFonts w:ascii="Calibri" w:hAnsi="Calibri" w:eastAsia="宋体" w:cs="Times New Roman"/>
      <w:kern w:val="2"/>
      <w:sz w:val="21"/>
      <w:szCs w:val="24"/>
      <w:lang w:val="en-US" w:eastAsia="zh-CN" w:bidi="ar-SA"/>
    </w:rPr>
  </w:style>
  <w:style w:type="paragraph" w:styleId="8">
    <w:name w:val="toc 2"/>
    <w:basedOn w:val="1"/>
    <w:next w:val="1"/>
    <w:autoRedefine/>
    <w:qFormat/>
    <w:uiPriority w:val="39"/>
    <w:pPr>
      <w:tabs>
        <w:tab w:val="right" w:leader="dot" w:pos="9000"/>
      </w:tabs>
    </w:pPr>
  </w:style>
  <w:style w:type="paragraph" w:styleId="9">
    <w:name w:val="Date"/>
    <w:basedOn w:val="1"/>
    <w:next w:val="1"/>
    <w:link w:val="24"/>
    <w:autoRedefine/>
    <w:semiHidden/>
    <w:unhideWhenUsed/>
    <w:qFormat/>
    <w:uiPriority w:val="99"/>
    <w:pPr>
      <w:ind w:left="100" w:leftChars="2500"/>
    </w:pPr>
  </w:style>
  <w:style w:type="paragraph" w:styleId="10">
    <w:name w:val="footer"/>
    <w:basedOn w:val="1"/>
    <w:link w:val="18"/>
    <w:autoRedefine/>
    <w:unhideWhenUsed/>
    <w:qFormat/>
    <w:uiPriority w:val="99"/>
    <w:pPr>
      <w:tabs>
        <w:tab w:val="center" w:pos="4153"/>
        <w:tab w:val="right" w:pos="8306"/>
      </w:tabs>
      <w:snapToGrid w:val="0"/>
      <w:jc w:val="left"/>
    </w:pPr>
    <w:rPr>
      <w:sz w:val="18"/>
      <w:szCs w:val="18"/>
    </w:rPr>
  </w:style>
  <w:style w:type="paragraph" w:styleId="11">
    <w:name w:val="header"/>
    <w:basedOn w:val="1"/>
    <w:link w:val="17"/>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Subtitle"/>
    <w:basedOn w:val="1"/>
    <w:next w:val="1"/>
    <w:link w:val="21"/>
    <w:autoRedefine/>
    <w:qFormat/>
    <w:uiPriority w:val="11"/>
    <w:pPr>
      <w:ind w:firstLine="0" w:firstLineChars="0"/>
      <w:jc w:val="center"/>
      <w:outlineLvl w:val="1"/>
    </w:pPr>
    <w:rPr>
      <w:rFonts w:eastAsia="楷体_GB2312"/>
      <w:bCs/>
      <w:kern w:val="28"/>
      <w:szCs w:val="32"/>
    </w:rPr>
  </w:style>
  <w:style w:type="paragraph" w:styleId="13">
    <w:name w:val="Title"/>
    <w:basedOn w:val="1"/>
    <w:next w:val="1"/>
    <w:link w:val="20"/>
    <w:autoRedefine/>
    <w:qFormat/>
    <w:uiPriority w:val="10"/>
    <w:pPr>
      <w:ind w:firstLine="0" w:firstLineChars="0"/>
      <w:jc w:val="center"/>
      <w:outlineLvl w:val="0"/>
    </w:pPr>
    <w:rPr>
      <w:rFonts w:eastAsia="方正小标宋简体" w:asciiTheme="majorHAnsi" w:hAnsiTheme="majorHAnsi" w:cstheme="majorBidi"/>
      <w:b/>
      <w:bCs/>
      <w:sz w:val="44"/>
      <w:szCs w:val="32"/>
    </w:rPr>
  </w:style>
  <w:style w:type="paragraph" w:styleId="14">
    <w:name w:val="Body Text First Indent"/>
    <w:basedOn w:val="1"/>
    <w:next w:val="1"/>
    <w:autoRedefine/>
    <w:unhideWhenUsed/>
    <w:qFormat/>
    <w:uiPriority w:val="0"/>
    <w:pPr>
      <w:ind w:firstLine="420" w:firstLineChars="100"/>
    </w:pPr>
  </w:style>
  <w:style w:type="character" w:customStyle="1" w:styleId="17">
    <w:name w:val="页眉 字符"/>
    <w:basedOn w:val="16"/>
    <w:link w:val="11"/>
    <w:autoRedefine/>
    <w:qFormat/>
    <w:uiPriority w:val="99"/>
    <w:rPr>
      <w:sz w:val="18"/>
      <w:szCs w:val="18"/>
    </w:rPr>
  </w:style>
  <w:style w:type="character" w:customStyle="1" w:styleId="18">
    <w:name w:val="页脚 字符"/>
    <w:basedOn w:val="16"/>
    <w:link w:val="10"/>
    <w:autoRedefine/>
    <w:qFormat/>
    <w:uiPriority w:val="99"/>
    <w:rPr>
      <w:sz w:val="18"/>
      <w:szCs w:val="18"/>
    </w:rPr>
  </w:style>
  <w:style w:type="character" w:customStyle="1" w:styleId="19">
    <w:name w:val="标题 1 字符"/>
    <w:basedOn w:val="16"/>
    <w:link w:val="2"/>
    <w:autoRedefine/>
    <w:qFormat/>
    <w:uiPriority w:val="9"/>
    <w:rPr>
      <w:rFonts w:eastAsia="黑体"/>
      <w:bCs/>
      <w:kern w:val="44"/>
      <w:sz w:val="32"/>
      <w:szCs w:val="44"/>
    </w:rPr>
  </w:style>
  <w:style w:type="character" w:customStyle="1" w:styleId="20">
    <w:name w:val="标题 字符"/>
    <w:basedOn w:val="16"/>
    <w:link w:val="13"/>
    <w:autoRedefine/>
    <w:qFormat/>
    <w:uiPriority w:val="10"/>
    <w:rPr>
      <w:rFonts w:eastAsia="方正小标宋简体" w:asciiTheme="majorHAnsi" w:hAnsiTheme="majorHAnsi" w:cstheme="majorBidi"/>
      <w:b/>
      <w:bCs/>
      <w:sz w:val="44"/>
      <w:szCs w:val="32"/>
    </w:rPr>
  </w:style>
  <w:style w:type="character" w:customStyle="1" w:styleId="21">
    <w:name w:val="副标题 字符"/>
    <w:basedOn w:val="16"/>
    <w:link w:val="12"/>
    <w:autoRedefine/>
    <w:qFormat/>
    <w:uiPriority w:val="11"/>
    <w:rPr>
      <w:rFonts w:eastAsia="楷体_GB2312"/>
      <w:bCs/>
      <w:kern w:val="28"/>
      <w:sz w:val="32"/>
      <w:szCs w:val="32"/>
    </w:rPr>
  </w:style>
  <w:style w:type="character" w:customStyle="1" w:styleId="22">
    <w:name w:val="标题 2 字符"/>
    <w:basedOn w:val="16"/>
    <w:link w:val="3"/>
    <w:autoRedefine/>
    <w:qFormat/>
    <w:uiPriority w:val="9"/>
    <w:rPr>
      <w:rFonts w:eastAsia="楷体_GB2312" w:asciiTheme="majorHAnsi" w:hAnsiTheme="majorHAnsi" w:cstheme="majorBidi"/>
      <w:bCs/>
      <w:sz w:val="32"/>
      <w:szCs w:val="32"/>
    </w:rPr>
  </w:style>
  <w:style w:type="character" w:customStyle="1" w:styleId="23">
    <w:name w:val="标题 3 字符"/>
    <w:basedOn w:val="16"/>
    <w:link w:val="4"/>
    <w:autoRedefine/>
    <w:qFormat/>
    <w:uiPriority w:val="9"/>
    <w:rPr>
      <w:rFonts w:eastAsia="仿宋_GB2312"/>
      <w:bCs/>
      <w:sz w:val="32"/>
      <w:szCs w:val="32"/>
    </w:rPr>
  </w:style>
  <w:style w:type="character" w:customStyle="1" w:styleId="24">
    <w:name w:val="日期 字符"/>
    <w:basedOn w:val="16"/>
    <w:link w:val="9"/>
    <w:autoRedefine/>
    <w:semiHidden/>
    <w:qFormat/>
    <w:uiPriority w:val="99"/>
    <w:rPr>
      <w:rFonts w:ascii="仿宋_GB2312" w:hAnsi="仿宋_GB2312" w:eastAsia="仿宋_GB2312"/>
      <w:kern w:val="2"/>
      <w:sz w:val="32"/>
      <w:szCs w:val="22"/>
    </w:rPr>
  </w:style>
  <w:style w:type="paragraph" w:customStyle="1" w:styleId="25">
    <w:name w:val="z标题1"/>
    <w:next w:val="1"/>
    <w:autoRedefine/>
    <w:qFormat/>
    <w:uiPriority w:val="0"/>
    <w:pPr>
      <w:keepNext/>
      <w:widowControl w:val="0"/>
      <w:numPr>
        <w:ilvl w:val="0"/>
        <w:numId w:val="1"/>
      </w:numPr>
      <w:adjustRightInd w:val="0"/>
      <w:snapToGrid w:val="0"/>
      <w:spacing w:line="579" w:lineRule="exact"/>
      <w:outlineLvl w:val="0"/>
    </w:pPr>
    <w:rPr>
      <w:rFonts w:ascii="Times New Roman" w:hAnsi="Times New Roman" w:eastAsia="黑体" w:cs="Times New Roman"/>
      <w:bCs/>
      <w:kern w:val="44"/>
      <w:sz w:val="32"/>
      <w:lang w:val="en-US" w:eastAsia="zh-CN" w:bidi="ar-SA"/>
    </w:rPr>
  </w:style>
  <w:style w:type="paragraph" w:customStyle="1" w:styleId="26">
    <w:name w:val="z标题2"/>
    <w:next w:val="1"/>
    <w:autoRedefine/>
    <w:qFormat/>
    <w:uiPriority w:val="0"/>
    <w:pPr>
      <w:keepNext/>
      <w:widowControl w:val="0"/>
      <w:numPr>
        <w:ilvl w:val="1"/>
        <w:numId w:val="1"/>
      </w:numPr>
      <w:adjustRightInd w:val="0"/>
      <w:snapToGrid w:val="0"/>
      <w:spacing w:line="579" w:lineRule="exact"/>
      <w:jc w:val="both"/>
      <w:outlineLvl w:val="1"/>
    </w:pPr>
    <w:rPr>
      <w:rFonts w:ascii="Times New Roman" w:hAnsi="Times New Roman" w:eastAsia="楷体_GB2312" w:cs="Times New Roman"/>
      <w:bCs/>
      <w:sz w:val="32"/>
      <w:szCs w:val="32"/>
      <w:lang w:val="en-US" w:eastAsia="zh-CN" w:bidi="ar-SA"/>
    </w:rPr>
  </w:style>
  <w:style w:type="paragraph" w:customStyle="1" w:styleId="27">
    <w:name w:val="z标题3"/>
    <w:next w:val="1"/>
    <w:autoRedefine/>
    <w:qFormat/>
    <w:uiPriority w:val="0"/>
    <w:pPr>
      <w:keepNext/>
      <w:widowControl w:val="0"/>
      <w:numPr>
        <w:ilvl w:val="2"/>
        <w:numId w:val="1"/>
      </w:numPr>
      <w:spacing w:line="579" w:lineRule="exact"/>
      <w:jc w:val="both"/>
      <w:outlineLvl w:val="2"/>
    </w:pPr>
    <w:rPr>
      <w:rFonts w:ascii="Times New Roman" w:hAnsi="Times New Roman" w:eastAsia="仿宋_GB2312" w:cs="Times New Roman"/>
      <w:b/>
      <w:bCs/>
      <w:sz w:val="32"/>
      <w:szCs w:val="28"/>
      <w:lang w:val="en-US" w:eastAsia="zh-CN" w:bidi="ar-SA"/>
    </w:rPr>
  </w:style>
  <w:style w:type="paragraph" w:customStyle="1" w:styleId="28">
    <w:name w:val="z标题4"/>
    <w:next w:val="1"/>
    <w:autoRedefine/>
    <w:qFormat/>
    <w:uiPriority w:val="0"/>
    <w:pPr>
      <w:keepNext/>
      <w:numPr>
        <w:ilvl w:val="3"/>
        <w:numId w:val="1"/>
      </w:numPr>
      <w:adjustRightInd w:val="0"/>
      <w:spacing w:line="579" w:lineRule="exact"/>
      <w:jc w:val="both"/>
      <w:outlineLvl w:val="3"/>
    </w:pPr>
    <w:rPr>
      <w:rFonts w:ascii="Times New Roman" w:hAnsi="Times New Roman" w:eastAsia="仿宋_GB2312" w:cs="Times New Roman"/>
      <w:bCs/>
      <w:sz w:val="32"/>
      <w:szCs w:val="28"/>
      <w:lang w:val="en-US" w:eastAsia="zh-CN" w:bidi="ar-SA"/>
    </w:rPr>
  </w:style>
  <w:style w:type="paragraph" w:customStyle="1" w:styleId="29">
    <w:name w:val="z标题5"/>
    <w:next w:val="1"/>
    <w:autoRedefine/>
    <w:qFormat/>
    <w:uiPriority w:val="0"/>
    <w:pPr>
      <w:numPr>
        <w:ilvl w:val="4"/>
        <w:numId w:val="1"/>
      </w:numPr>
      <w:spacing w:line="579" w:lineRule="exact"/>
      <w:ind w:firstLineChars="200"/>
      <w:jc w:val="both"/>
      <w:outlineLvl w:val="4"/>
    </w:pPr>
    <w:rPr>
      <w:rFonts w:ascii="仿宋_GB2312" w:hAnsi="仿宋_GB2312" w:eastAsia="仿宋_GB2312" w:cs="Times New Roman"/>
      <w:bCs/>
      <w:sz w:val="32"/>
      <w:szCs w:val="28"/>
      <w:lang w:val="en-US" w:eastAsia="zh-CN" w:bidi="ar-SA"/>
    </w:rPr>
  </w:style>
  <w:style w:type="paragraph" w:customStyle="1" w:styleId="30">
    <w:name w:val="表格内容"/>
    <w:next w:val="1"/>
    <w:link w:val="31"/>
    <w:autoRedefine/>
    <w:qFormat/>
    <w:uiPriority w:val="0"/>
    <w:pPr>
      <w:jc w:val="center"/>
    </w:pPr>
    <w:rPr>
      <w:rFonts w:ascii="仿宋_GB2312" w:hAnsi="仿宋_GB2312" w:eastAsia="仿宋_GB2312" w:cs="Times New Roman"/>
      <w:bCs/>
      <w:kern w:val="2"/>
      <w:sz w:val="24"/>
      <w:szCs w:val="21"/>
      <w:lang w:val="en-US" w:eastAsia="zh-CN" w:bidi="ar-SA"/>
    </w:rPr>
  </w:style>
  <w:style w:type="character" w:customStyle="1" w:styleId="31">
    <w:name w:val="表格内容 字符"/>
    <w:link w:val="30"/>
    <w:autoRedefine/>
    <w:qFormat/>
    <w:uiPriority w:val="0"/>
    <w:rPr>
      <w:rFonts w:ascii="仿宋_GB2312" w:hAnsi="仿宋_GB2312" w:eastAsia="仿宋_GB2312" w:cs="Times New Roman"/>
      <w:bCs/>
      <w:kern w:val="2"/>
      <w:sz w:val="24"/>
      <w:szCs w:val="21"/>
    </w:rPr>
  </w:style>
  <w:style w:type="paragraph" w:customStyle="1" w:styleId="32">
    <w:name w:val="图片"/>
    <w:basedOn w:val="1"/>
    <w:link w:val="33"/>
    <w:autoRedefine/>
    <w:qFormat/>
    <w:uiPriority w:val="0"/>
    <w:pPr>
      <w:overflowPunct w:val="0"/>
      <w:jc w:val="center"/>
    </w:pPr>
    <w:rPr>
      <w:rFonts w:cs="Times New Roman"/>
    </w:rPr>
  </w:style>
  <w:style w:type="character" w:customStyle="1" w:styleId="33">
    <w:name w:val="图片 字符"/>
    <w:link w:val="32"/>
    <w:autoRedefine/>
    <w:qFormat/>
    <w:uiPriority w:val="0"/>
    <w:rPr>
      <w:rFonts w:ascii="仿宋_GB2312" w:hAnsi="仿宋_GB2312" w:eastAsia="仿宋_GB2312" w:cs="Times New Roman"/>
      <w:kern w:val="2"/>
      <w:sz w:val="32"/>
      <w:szCs w:val="22"/>
    </w:rPr>
  </w:style>
  <w:style w:type="paragraph" w:customStyle="1" w:styleId="34">
    <w:name w:val="_Style 24"/>
    <w:basedOn w:val="1"/>
    <w:autoRedefine/>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10</Words>
  <Characters>63</Characters>
  <Lines>1</Lines>
  <Paragraphs>1</Paragraphs>
  <TotalTime>12</TotalTime>
  <ScaleCrop>false</ScaleCrop>
  <LinksUpToDate>false</LinksUpToDate>
  <CharactersWithSpaces>72</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2022-02-18T10:33:00Z</dcterms:created>
  <dc:creator>Windows User</dc:creator>
  <cp:lastModifiedBy>网络中心值班</cp:lastModifiedBy>
  <dcterms:modified xsi:type="dcterms:W3CDTF">2024-03-25T01:40:40Z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A745C28DB0CF43C5B506BBA3B7D6E11D_13</vt:lpwstr>
  </property>
</Properties>
</file>